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8EB50" w14:textId="77777777" w:rsidR="00152D1F" w:rsidRDefault="00152D1F" w:rsidP="002B0892">
      <w:pPr>
        <w:spacing w:after="0" w:line="240" w:lineRule="auto"/>
        <w:jc w:val="center"/>
        <w:rPr>
          <w:rFonts w:ascii="Garamond" w:hAnsi="Garamond"/>
          <w:b/>
          <w:bCs/>
        </w:rPr>
      </w:pPr>
      <w:r>
        <w:rPr>
          <w:noProof/>
        </w:rPr>
        <w:drawing>
          <wp:inline distT="0" distB="0" distL="0" distR="0" wp14:anchorId="5D12B16F" wp14:editId="03E4DE3B">
            <wp:extent cx="2194762" cy="1264920"/>
            <wp:effectExtent l="0" t="0" r="0" b="0"/>
            <wp:docPr id="1" name="Picture 1" descr="PNG APEC Business Advisory Council Representation Announc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APEC Business Advisory Council Representation Announced ..."/>
                    <pic:cNvPicPr>
                      <a:picLocks noChangeAspect="1" noChangeArrowheads="1"/>
                    </pic:cNvPicPr>
                  </pic:nvPicPr>
                  <pic:blipFill rotWithShape="1">
                    <a:blip r:embed="rId7">
                      <a:extLst>
                        <a:ext uri="{28A0092B-C50C-407E-A947-70E740481C1C}">
                          <a14:useLocalDpi xmlns:a14="http://schemas.microsoft.com/office/drawing/2010/main" val="0"/>
                        </a:ext>
                      </a:extLst>
                    </a:blip>
                    <a:srcRect t="14816" b="23044"/>
                    <a:stretch/>
                  </pic:blipFill>
                  <pic:spPr bwMode="auto">
                    <a:xfrm>
                      <a:off x="0" y="0"/>
                      <a:ext cx="2202345" cy="1269290"/>
                    </a:xfrm>
                    <a:prstGeom prst="rect">
                      <a:avLst/>
                    </a:prstGeom>
                    <a:noFill/>
                    <a:ln>
                      <a:noFill/>
                    </a:ln>
                    <a:extLst>
                      <a:ext uri="{53640926-AAD7-44D8-BBD7-CCE9431645EC}">
                        <a14:shadowObscured xmlns:a14="http://schemas.microsoft.com/office/drawing/2010/main"/>
                      </a:ext>
                    </a:extLst>
                  </pic:spPr>
                </pic:pic>
              </a:graphicData>
            </a:graphic>
          </wp:inline>
        </w:drawing>
      </w:r>
    </w:p>
    <w:p w14:paraId="064F865A" w14:textId="0CE2B225" w:rsidR="00E76C67" w:rsidRPr="00790822" w:rsidRDefault="0084725C" w:rsidP="002B0892">
      <w:pPr>
        <w:spacing w:after="0" w:line="240" w:lineRule="auto"/>
        <w:jc w:val="center"/>
        <w:rPr>
          <w:rFonts w:ascii="Garamond" w:hAnsi="Garamond"/>
          <w:b/>
          <w:bCs/>
          <w:lang w:val="en-US"/>
        </w:rPr>
      </w:pPr>
      <w:r w:rsidRPr="00790822">
        <w:rPr>
          <w:rFonts w:ascii="Garamond" w:hAnsi="Garamond"/>
          <w:b/>
          <w:bCs/>
          <w:lang w:val="en-US"/>
        </w:rPr>
        <w:t>ABAC COVID-19</w:t>
      </w:r>
      <w:r w:rsidR="003A107A" w:rsidRPr="00790822">
        <w:rPr>
          <w:rFonts w:ascii="Garamond" w:hAnsi="Garamond"/>
          <w:b/>
          <w:bCs/>
          <w:lang w:val="en-US"/>
        </w:rPr>
        <w:t xml:space="preserve"> </w:t>
      </w:r>
      <w:r w:rsidRPr="00790822">
        <w:rPr>
          <w:rFonts w:ascii="Garamond" w:hAnsi="Garamond"/>
          <w:b/>
          <w:bCs/>
          <w:lang w:val="en-US"/>
        </w:rPr>
        <w:t>Report:</w:t>
      </w:r>
    </w:p>
    <w:p w14:paraId="5BC95F29" w14:textId="595A25F7" w:rsidR="0084725C" w:rsidRPr="00790822" w:rsidRDefault="0084725C" w:rsidP="002B0892">
      <w:pPr>
        <w:spacing w:after="0" w:line="240" w:lineRule="auto"/>
        <w:jc w:val="center"/>
        <w:rPr>
          <w:rFonts w:ascii="Garamond" w:hAnsi="Garamond"/>
          <w:b/>
          <w:bCs/>
          <w:lang w:val="en-US"/>
        </w:rPr>
      </w:pPr>
      <w:r w:rsidRPr="00790822">
        <w:rPr>
          <w:rFonts w:ascii="Garamond" w:hAnsi="Garamond"/>
          <w:b/>
          <w:bCs/>
          <w:lang w:val="en-US"/>
        </w:rPr>
        <w:t>Laying the Groundwork for Economic Recovery</w:t>
      </w:r>
      <w:r w:rsidR="00845F48" w:rsidRPr="00790822">
        <w:rPr>
          <w:rFonts w:ascii="Garamond" w:hAnsi="Garamond"/>
          <w:b/>
          <w:bCs/>
          <w:lang w:val="en-US"/>
        </w:rPr>
        <w:t xml:space="preserve"> and Resilience</w:t>
      </w:r>
    </w:p>
    <w:p w14:paraId="16A7DB50" w14:textId="3F68617A" w:rsidR="0084725C" w:rsidRPr="00790822" w:rsidRDefault="0084725C" w:rsidP="002B0892">
      <w:pPr>
        <w:spacing w:after="0" w:line="240" w:lineRule="auto"/>
        <w:jc w:val="center"/>
        <w:rPr>
          <w:rFonts w:ascii="Garamond" w:hAnsi="Garamond"/>
          <w:b/>
          <w:bCs/>
          <w:lang w:val="en-US"/>
        </w:rPr>
      </w:pPr>
    </w:p>
    <w:p w14:paraId="227066F4" w14:textId="79F30545" w:rsidR="0084725C" w:rsidRPr="00790822" w:rsidRDefault="00BC7780" w:rsidP="002B0892">
      <w:pPr>
        <w:spacing w:after="0" w:line="240" w:lineRule="auto"/>
        <w:jc w:val="center"/>
        <w:rPr>
          <w:rFonts w:ascii="Garamond" w:hAnsi="Garamond"/>
          <w:b/>
          <w:bCs/>
          <w:lang w:val="en-US"/>
        </w:rPr>
      </w:pPr>
      <w:r w:rsidRPr="00790822">
        <w:rPr>
          <w:rFonts w:ascii="Garamond" w:hAnsi="Garamond"/>
          <w:b/>
          <w:bCs/>
          <w:lang w:val="en-US"/>
        </w:rPr>
        <w:t>Executive Summary</w:t>
      </w:r>
    </w:p>
    <w:p w14:paraId="7B1E300F" w14:textId="77777777" w:rsidR="002B0892" w:rsidRPr="00790822" w:rsidRDefault="002B0892" w:rsidP="002B0892">
      <w:pPr>
        <w:spacing w:after="0" w:line="240" w:lineRule="auto"/>
        <w:jc w:val="center"/>
        <w:rPr>
          <w:rFonts w:ascii="Garamond" w:hAnsi="Garamond"/>
          <w:b/>
          <w:bCs/>
          <w:lang w:val="en-US"/>
        </w:rPr>
      </w:pPr>
    </w:p>
    <w:p w14:paraId="164EE28E" w14:textId="77777777" w:rsidR="00352F1F" w:rsidRPr="00790822" w:rsidRDefault="00352F1F" w:rsidP="00476BC5">
      <w:pPr>
        <w:spacing w:after="0" w:line="240" w:lineRule="auto"/>
        <w:jc w:val="both"/>
        <w:rPr>
          <w:rFonts w:ascii="Garamond" w:hAnsi="Garamond"/>
          <w:b/>
          <w:bCs/>
          <w:lang w:val="en-US"/>
        </w:rPr>
      </w:pPr>
      <w:r w:rsidRPr="00790822">
        <w:rPr>
          <w:rFonts w:ascii="Garamond" w:hAnsi="Garamond"/>
          <w:b/>
          <w:bCs/>
          <w:lang w:val="en-US"/>
        </w:rPr>
        <w:t>Introduction</w:t>
      </w:r>
    </w:p>
    <w:p w14:paraId="6B561775" w14:textId="32D3376F" w:rsidR="00352F1F" w:rsidRPr="00790822" w:rsidRDefault="00352F1F" w:rsidP="002B0892">
      <w:pPr>
        <w:pStyle w:val="ListParagraph"/>
        <w:spacing w:after="0" w:line="240" w:lineRule="auto"/>
        <w:ind w:left="567"/>
        <w:jc w:val="both"/>
        <w:rPr>
          <w:rFonts w:ascii="Garamond" w:hAnsi="Garamond"/>
          <w:lang w:val="en-US"/>
        </w:rPr>
      </w:pPr>
    </w:p>
    <w:p w14:paraId="64616335" w14:textId="77777777" w:rsidR="0016478F" w:rsidRPr="00790822" w:rsidRDefault="0016478F" w:rsidP="0016478F">
      <w:pPr>
        <w:pStyle w:val="ListParagraph"/>
        <w:spacing w:after="0" w:line="240" w:lineRule="auto"/>
        <w:ind w:left="0"/>
        <w:jc w:val="both"/>
        <w:rPr>
          <w:rFonts w:ascii="Garamond" w:hAnsi="Garamond"/>
          <w:lang w:val="en-US"/>
        </w:rPr>
      </w:pPr>
      <w:r w:rsidRPr="00790822">
        <w:rPr>
          <w:rFonts w:ascii="Garamond" w:hAnsi="Garamond"/>
          <w:lang w:val="en-US"/>
        </w:rPr>
        <w:t xml:space="preserve">The global economy is reeling from the impact of the COVID-19 pandemic, a health and economic crisis of unprecedented proportions.  The crisis has severely impacted economies across the globe, costing many lives and harshly affecting the livelihoods of individuals, the viability of businesses, and economic growth both within and across economies.  </w:t>
      </w:r>
    </w:p>
    <w:p w14:paraId="3B3C62AE" w14:textId="77777777" w:rsidR="0016478F" w:rsidRPr="00790822" w:rsidRDefault="0016478F" w:rsidP="0016478F">
      <w:pPr>
        <w:pStyle w:val="ListParagraph"/>
        <w:spacing w:after="0" w:line="240" w:lineRule="auto"/>
        <w:ind w:left="0"/>
        <w:jc w:val="both"/>
        <w:rPr>
          <w:rFonts w:ascii="Garamond" w:hAnsi="Garamond"/>
          <w:lang w:val="en-US"/>
        </w:rPr>
      </w:pPr>
    </w:p>
    <w:p w14:paraId="770BEE24" w14:textId="77777777" w:rsidR="004E1E8E" w:rsidRPr="00CB7023" w:rsidRDefault="0016478F" w:rsidP="004E1E8E">
      <w:pPr>
        <w:pStyle w:val="ListParagraph"/>
        <w:spacing w:after="0" w:line="240" w:lineRule="auto"/>
        <w:ind w:left="0"/>
        <w:jc w:val="both"/>
        <w:rPr>
          <w:rFonts w:ascii="Garamond" w:hAnsi="Garamond" w:cstheme="minorHAnsi"/>
          <w:color w:val="000000" w:themeColor="text1"/>
          <w:lang w:eastAsia="zh-CN"/>
        </w:rPr>
      </w:pPr>
      <w:r w:rsidRPr="00790822">
        <w:rPr>
          <w:rFonts w:ascii="Garamond" w:hAnsi="Garamond"/>
          <w:lang w:val="en-US"/>
        </w:rPr>
        <w:t xml:space="preserve">Responding effectively to the pandemic in the </w:t>
      </w:r>
      <w:r w:rsidR="00A54CD9">
        <w:rPr>
          <w:rFonts w:ascii="Garamond" w:hAnsi="Garamond"/>
          <w:lang w:val="en-US"/>
        </w:rPr>
        <w:t>immediate</w:t>
      </w:r>
      <w:r w:rsidR="00A54CD9" w:rsidRPr="00790822">
        <w:rPr>
          <w:rFonts w:ascii="Garamond" w:hAnsi="Garamond"/>
          <w:lang w:val="en-US"/>
        </w:rPr>
        <w:t xml:space="preserve"> </w:t>
      </w:r>
      <w:r w:rsidRPr="00790822">
        <w:rPr>
          <w:rFonts w:ascii="Garamond" w:hAnsi="Garamond"/>
          <w:lang w:val="en-US"/>
        </w:rPr>
        <w:t>and longer term requires regional cooperation and leadership as well as public-private collaboration.  C</w:t>
      </w:r>
      <w:r w:rsidRPr="00790822">
        <w:rPr>
          <w:rFonts w:ascii="Garamond" w:hAnsi="Garamond" w:cstheme="minorHAnsi"/>
          <w:color w:val="000000" w:themeColor="text1"/>
          <w:lang w:eastAsia="zh-CN"/>
        </w:rPr>
        <w:t>ore APEC values of “</w:t>
      </w:r>
      <w:r w:rsidRPr="00790822">
        <w:rPr>
          <w:rFonts w:ascii="Garamond" w:hAnsi="Garamond" w:cstheme="minorHAnsi"/>
          <w:i/>
          <w:iCs/>
          <w:color w:val="000000" w:themeColor="text1"/>
          <w:lang w:eastAsia="zh-CN"/>
        </w:rPr>
        <w:t>equal partnership, shared responsibility, mutual respect, common interest and common benefit”,</w:t>
      </w:r>
      <w:r w:rsidRPr="00790822">
        <w:rPr>
          <w:rFonts w:ascii="Garamond" w:hAnsi="Garamond" w:cstheme="minorHAnsi"/>
          <w:color w:val="000000" w:themeColor="text1"/>
          <w:lang w:eastAsia="zh-CN"/>
        </w:rPr>
        <w:t xml:space="preserve"> agreed by APEC </w:t>
      </w:r>
      <w:r w:rsidR="006774AF">
        <w:rPr>
          <w:rFonts w:ascii="Garamond" w:hAnsi="Garamond" w:cstheme="minorHAnsi"/>
          <w:color w:val="000000" w:themeColor="text1"/>
          <w:lang w:eastAsia="zh-CN"/>
        </w:rPr>
        <w:t xml:space="preserve">Economic </w:t>
      </w:r>
      <w:r w:rsidRPr="00790822">
        <w:rPr>
          <w:rFonts w:ascii="Garamond" w:hAnsi="Garamond" w:cstheme="minorHAnsi"/>
          <w:color w:val="000000" w:themeColor="text1"/>
          <w:lang w:eastAsia="zh-CN"/>
        </w:rPr>
        <w:t>Leaders in 1994, have never been more relevant.  Open markets and non-discrimination should continue to be our benchmarks as we address the many threats posed by COVID-19, and for any future crises that the region may face</w:t>
      </w:r>
      <w:r w:rsidR="00713FD7" w:rsidRPr="007C7097">
        <w:rPr>
          <w:rFonts w:ascii="Garamond" w:hAnsi="Garamond" w:cstheme="minorHAnsi"/>
          <w:color w:val="000000" w:themeColor="text1"/>
          <w:lang w:eastAsia="zh-CN"/>
        </w:rPr>
        <w:t xml:space="preserve">. </w:t>
      </w:r>
      <w:r w:rsidR="00E03A22" w:rsidRPr="007C7097">
        <w:rPr>
          <w:rFonts w:ascii="Garamond" w:hAnsi="Garamond" w:cstheme="minorHAnsi"/>
          <w:color w:val="000000" w:themeColor="text1"/>
          <w:lang w:eastAsia="zh-CN"/>
        </w:rPr>
        <w:t xml:space="preserve"> </w:t>
      </w:r>
      <w:r w:rsidR="004E1E8E">
        <w:rPr>
          <w:rFonts w:ascii="Garamond" w:eastAsia="Times New Roman" w:hAnsi="Garamond" w:cstheme="minorHAnsi"/>
          <w:color w:val="000000" w:themeColor="text1"/>
          <w:lang w:val="en-US" w:eastAsia="en-GB"/>
        </w:rPr>
        <w:t xml:space="preserve">We must also act with urgency to shape a more sustainable, low-carbon region going forward, bearing in mind that we may soon face similar adverse impacts arising from climate change. </w:t>
      </w:r>
    </w:p>
    <w:p w14:paraId="73C213CA" w14:textId="77777777" w:rsidR="0016478F" w:rsidRPr="00790822" w:rsidRDefault="0016478F" w:rsidP="0016478F">
      <w:pPr>
        <w:spacing w:after="0" w:line="240" w:lineRule="auto"/>
        <w:jc w:val="both"/>
        <w:rPr>
          <w:rFonts w:ascii="Garamond" w:hAnsi="Garamond"/>
          <w:b/>
          <w:bCs/>
          <w:lang w:val="en-US"/>
        </w:rPr>
      </w:pPr>
    </w:p>
    <w:p w14:paraId="6C0264F4" w14:textId="753001BD" w:rsidR="0016478F" w:rsidRPr="00790822" w:rsidRDefault="00F52EF6" w:rsidP="009D4122">
      <w:pPr>
        <w:pStyle w:val="ListParagraph"/>
        <w:spacing w:after="0" w:line="240" w:lineRule="auto"/>
        <w:ind w:left="0"/>
        <w:jc w:val="both"/>
        <w:rPr>
          <w:rFonts w:ascii="Garamond" w:hAnsi="Garamond"/>
          <w:lang w:val="en-US"/>
        </w:rPr>
      </w:pPr>
      <w:r w:rsidRPr="00790822">
        <w:rPr>
          <w:rFonts w:ascii="Garamond" w:hAnsi="Garamond"/>
          <w:lang w:val="en-US"/>
        </w:rPr>
        <w:t>In this report</w:t>
      </w:r>
      <w:r w:rsidR="00185B25" w:rsidRPr="00790822">
        <w:rPr>
          <w:rFonts w:ascii="Garamond" w:hAnsi="Garamond"/>
          <w:lang w:val="en-US"/>
        </w:rPr>
        <w:t>, the A</w:t>
      </w:r>
      <w:r w:rsidR="00C4397F" w:rsidRPr="00790822">
        <w:rPr>
          <w:rFonts w:ascii="Garamond" w:hAnsi="Garamond"/>
          <w:lang w:val="en-US"/>
        </w:rPr>
        <w:t xml:space="preserve">PEC Business Advisory Council (ABAC) </w:t>
      </w:r>
      <w:r w:rsidR="0076361F" w:rsidRPr="00790822">
        <w:rPr>
          <w:rFonts w:ascii="Garamond" w:hAnsi="Garamond"/>
          <w:lang w:val="en-US"/>
        </w:rPr>
        <w:t xml:space="preserve">sets out the actions </w:t>
      </w:r>
      <w:r w:rsidR="00A57E3B">
        <w:rPr>
          <w:rFonts w:ascii="Garamond" w:hAnsi="Garamond"/>
          <w:lang w:val="en-US"/>
        </w:rPr>
        <w:t xml:space="preserve">that APEC economies should take to respond </w:t>
      </w:r>
      <w:r w:rsidR="0016478F" w:rsidRPr="00790822">
        <w:rPr>
          <w:rFonts w:ascii="Garamond" w:hAnsi="Garamond"/>
          <w:lang w:val="en-US"/>
        </w:rPr>
        <w:t xml:space="preserve">to the pandemic </w:t>
      </w:r>
      <w:r w:rsidR="006A31B8" w:rsidRPr="00790822">
        <w:rPr>
          <w:rFonts w:ascii="Garamond" w:hAnsi="Garamond"/>
          <w:lang w:val="en-US"/>
        </w:rPr>
        <w:t xml:space="preserve">and its </w:t>
      </w:r>
      <w:r w:rsidR="00135BB6" w:rsidRPr="00790822">
        <w:rPr>
          <w:rFonts w:ascii="Garamond" w:hAnsi="Garamond"/>
          <w:lang w:val="en-US"/>
        </w:rPr>
        <w:t xml:space="preserve">immediate </w:t>
      </w:r>
      <w:r w:rsidR="004219A3" w:rsidRPr="00790822">
        <w:rPr>
          <w:rFonts w:ascii="Garamond" w:hAnsi="Garamond"/>
          <w:lang w:val="en-US"/>
        </w:rPr>
        <w:t>and long</w:t>
      </w:r>
      <w:r w:rsidR="00F473DD" w:rsidRPr="00790822">
        <w:rPr>
          <w:rFonts w:ascii="Garamond" w:hAnsi="Garamond"/>
          <w:lang w:val="en-US"/>
        </w:rPr>
        <w:t xml:space="preserve">-term </w:t>
      </w:r>
      <w:r w:rsidR="006A31B8" w:rsidRPr="00790822">
        <w:rPr>
          <w:rFonts w:ascii="Garamond" w:hAnsi="Garamond"/>
          <w:lang w:val="en-US"/>
        </w:rPr>
        <w:t>economic consequences</w:t>
      </w:r>
      <w:r w:rsidR="00152D1F">
        <w:rPr>
          <w:rFonts w:ascii="Garamond" w:hAnsi="Garamond"/>
          <w:lang w:val="en-US"/>
        </w:rPr>
        <w:t xml:space="preserve"> after consultation with our members and partner organizations who contribute to our survey’s and provide opinions/thought leadership namely the Pacific Economic Co-operation Council (PECC) &amp; Pacific Basin Economic Council (PBEC)</w:t>
      </w:r>
      <w:r w:rsidR="0016478F" w:rsidRPr="00790822">
        <w:rPr>
          <w:rFonts w:ascii="Garamond" w:hAnsi="Garamond"/>
          <w:lang w:val="en-US"/>
        </w:rPr>
        <w:t>.  This builds on</w:t>
      </w:r>
      <w:r w:rsidR="00152D1F">
        <w:rPr>
          <w:rFonts w:ascii="Garamond" w:hAnsi="Garamond"/>
          <w:lang w:val="en-US"/>
        </w:rPr>
        <w:t xml:space="preserve"> the </w:t>
      </w:r>
      <w:r w:rsidR="0016478F" w:rsidRPr="00790822">
        <w:rPr>
          <w:rFonts w:ascii="Garamond" w:hAnsi="Garamond"/>
          <w:lang w:val="en-US"/>
        </w:rPr>
        <w:t xml:space="preserve">letter </w:t>
      </w:r>
      <w:r w:rsidR="00152D1F">
        <w:rPr>
          <w:rFonts w:ascii="Garamond" w:hAnsi="Garamond"/>
          <w:lang w:val="en-US"/>
        </w:rPr>
        <w:t xml:space="preserve">send </w:t>
      </w:r>
      <w:r w:rsidR="0016478F" w:rsidRPr="00790822">
        <w:rPr>
          <w:rFonts w:ascii="Garamond" w:hAnsi="Garamond"/>
          <w:lang w:val="en-US"/>
        </w:rPr>
        <w:t xml:space="preserve">to APEC Ministers </w:t>
      </w:r>
      <w:r w:rsidR="00A54CD9">
        <w:rPr>
          <w:rFonts w:ascii="Garamond" w:hAnsi="Garamond"/>
          <w:lang w:val="en-US"/>
        </w:rPr>
        <w:t>in</w:t>
      </w:r>
      <w:r w:rsidR="0016478F" w:rsidRPr="00790822">
        <w:rPr>
          <w:rFonts w:ascii="Garamond" w:hAnsi="Garamond"/>
          <w:lang w:val="en-US"/>
        </w:rPr>
        <w:t xml:space="preserve"> March</w:t>
      </w:r>
      <w:r w:rsidR="00152D1F">
        <w:rPr>
          <w:rFonts w:ascii="Garamond" w:hAnsi="Garamond"/>
          <w:lang w:val="en-US"/>
        </w:rPr>
        <w:t xml:space="preserve"> 2020</w:t>
      </w:r>
      <w:r w:rsidR="00633EEC" w:rsidRPr="00790822">
        <w:rPr>
          <w:rFonts w:ascii="Garamond" w:hAnsi="Garamond"/>
          <w:lang w:val="en-US"/>
        </w:rPr>
        <w:t xml:space="preserve">. </w:t>
      </w:r>
    </w:p>
    <w:p w14:paraId="086E8ED2" w14:textId="77777777" w:rsidR="001A7554" w:rsidRPr="00790822" w:rsidRDefault="001A7554">
      <w:pPr>
        <w:spacing w:after="0" w:line="240" w:lineRule="auto"/>
        <w:jc w:val="both"/>
        <w:rPr>
          <w:rFonts w:ascii="Garamond" w:hAnsi="Garamond"/>
          <w:b/>
          <w:bCs/>
          <w:lang w:val="en-US"/>
        </w:rPr>
      </w:pPr>
    </w:p>
    <w:p w14:paraId="4FE8FACE" w14:textId="00C2BA27" w:rsidR="00802EA9" w:rsidRPr="00790822" w:rsidRDefault="00802EA9" w:rsidP="00802EA9">
      <w:pPr>
        <w:spacing w:after="0" w:line="240" w:lineRule="auto"/>
        <w:jc w:val="both"/>
        <w:rPr>
          <w:rFonts w:ascii="Garamond" w:hAnsi="Garamond"/>
          <w:b/>
          <w:bCs/>
          <w:lang w:val="en-US"/>
        </w:rPr>
      </w:pPr>
      <w:r w:rsidRPr="00790822">
        <w:rPr>
          <w:rFonts w:ascii="Garamond" w:hAnsi="Garamond"/>
          <w:b/>
          <w:bCs/>
          <w:lang w:val="en-US"/>
        </w:rPr>
        <w:t xml:space="preserve">Part 1: </w:t>
      </w:r>
      <w:r w:rsidR="00D869C6" w:rsidRPr="00790822">
        <w:rPr>
          <w:rFonts w:ascii="Garamond" w:hAnsi="Garamond"/>
          <w:b/>
          <w:bCs/>
          <w:lang w:val="en-US"/>
        </w:rPr>
        <w:t xml:space="preserve">Responding to the </w:t>
      </w:r>
      <w:r w:rsidR="00B71C3D" w:rsidRPr="00790822">
        <w:rPr>
          <w:rFonts w:ascii="Garamond" w:hAnsi="Garamond"/>
          <w:b/>
          <w:bCs/>
          <w:lang w:val="en-US"/>
        </w:rPr>
        <w:t xml:space="preserve">Immediate Impact </w:t>
      </w:r>
      <w:r w:rsidR="00AD2064" w:rsidRPr="00790822">
        <w:rPr>
          <w:rFonts w:ascii="Garamond" w:hAnsi="Garamond"/>
          <w:b/>
          <w:bCs/>
          <w:lang w:val="en-US"/>
        </w:rPr>
        <w:t>of the Pandemic</w:t>
      </w:r>
    </w:p>
    <w:p w14:paraId="7C56ABB1" w14:textId="2CB82543" w:rsidR="001A7554" w:rsidRPr="00790822" w:rsidRDefault="006F6075" w:rsidP="006611AA">
      <w:pPr>
        <w:spacing w:after="0" w:line="240" w:lineRule="auto"/>
        <w:jc w:val="both"/>
        <w:rPr>
          <w:rFonts w:ascii="Garamond" w:hAnsi="Garamond"/>
          <w:lang w:val="en-US"/>
        </w:rPr>
      </w:pPr>
      <w:r w:rsidRPr="00790822">
        <w:rPr>
          <w:rFonts w:ascii="Garamond" w:hAnsi="Garamond"/>
          <w:lang w:val="en-US"/>
        </w:rPr>
        <w:t>These m</w:t>
      </w:r>
      <w:r w:rsidR="00802EA9" w:rsidRPr="00790822">
        <w:rPr>
          <w:rFonts w:ascii="Garamond" w:hAnsi="Garamond"/>
          <w:lang w:val="en-US"/>
        </w:rPr>
        <w:t xml:space="preserve">easures will ensure that essential goods, services, </w:t>
      </w:r>
      <w:r w:rsidR="004849B0" w:rsidRPr="00790822">
        <w:rPr>
          <w:rFonts w:ascii="Garamond" w:hAnsi="Garamond"/>
          <w:lang w:val="en-US"/>
        </w:rPr>
        <w:t xml:space="preserve">and </w:t>
      </w:r>
      <w:r w:rsidR="00802EA9" w:rsidRPr="00790822">
        <w:rPr>
          <w:rFonts w:ascii="Garamond" w:hAnsi="Garamond"/>
          <w:lang w:val="en-US"/>
        </w:rPr>
        <w:t xml:space="preserve">people can go where they are needed, and will help to avoid prolonging the pandemic. </w:t>
      </w:r>
      <w:r w:rsidR="0071313D">
        <w:rPr>
          <w:rFonts w:ascii="Garamond" w:hAnsi="Garamond"/>
          <w:lang w:val="en-US"/>
        </w:rPr>
        <w:t xml:space="preserve"> </w:t>
      </w:r>
      <w:r w:rsidR="00FD130C" w:rsidRPr="00790822">
        <w:rPr>
          <w:rFonts w:ascii="Garamond" w:hAnsi="Garamond"/>
          <w:lang w:val="en-US"/>
        </w:rPr>
        <w:t xml:space="preserve">It is also critical that </w:t>
      </w:r>
      <w:r w:rsidR="008511FE" w:rsidRPr="00790822">
        <w:rPr>
          <w:rFonts w:ascii="Garamond" w:hAnsi="Garamond"/>
          <w:lang w:val="en-US"/>
        </w:rPr>
        <w:t xml:space="preserve">support be given to </w:t>
      </w:r>
      <w:r w:rsidR="00FD130C" w:rsidRPr="00790822">
        <w:rPr>
          <w:rFonts w:ascii="Garamond" w:hAnsi="Garamond"/>
          <w:lang w:val="en-US"/>
        </w:rPr>
        <w:t xml:space="preserve">businesses </w:t>
      </w:r>
      <w:r w:rsidR="008511FE" w:rsidRPr="00790822">
        <w:rPr>
          <w:rFonts w:ascii="Garamond" w:hAnsi="Garamond"/>
          <w:lang w:val="en-US"/>
        </w:rPr>
        <w:t>particular</w:t>
      </w:r>
      <w:r w:rsidR="00627CC6" w:rsidRPr="00790822">
        <w:rPr>
          <w:rFonts w:ascii="Garamond" w:hAnsi="Garamond"/>
          <w:lang w:val="en-US"/>
        </w:rPr>
        <w:t>l</w:t>
      </w:r>
      <w:r w:rsidR="008511FE" w:rsidRPr="00790822">
        <w:rPr>
          <w:rFonts w:ascii="Garamond" w:hAnsi="Garamond"/>
          <w:lang w:val="en-US"/>
        </w:rPr>
        <w:t xml:space="preserve">y MSMEs to remain viable </w:t>
      </w:r>
      <w:r w:rsidR="00627CC6" w:rsidRPr="00790822">
        <w:rPr>
          <w:rFonts w:ascii="Garamond" w:hAnsi="Garamond"/>
          <w:lang w:val="en-US"/>
        </w:rPr>
        <w:t>and to facilitate their recovery.</w:t>
      </w:r>
      <w:r w:rsidR="0071313D">
        <w:rPr>
          <w:rFonts w:ascii="Garamond" w:hAnsi="Garamond"/>
          <w:lang w:val="en-US"/>
        </w:rPr>
        <w:t xml:space="preserve">  Some of these measures will need to be sustained</w:t>
      </w:r>
      <w:r w:rsidR="0000487A">
        <w:rPr>
          <w:rFonts w:ascii="Garamond" w:hAnsi="Garamond"/>
          <w:lang w:val="en-US"/>
        </w:rPr>
        <w:t xml:space="preserve"> and enhanced</w:t>
      </w:r>
      <w:r w:rsidR="0071313D">
        <w:rPr>
          <w:rFonts w:ascii="Garamond" w:hAnsi="Garamond"/>
          <w:lang w:val="en-US"/>
        </w:rPr>
        <w:t xml:space="preserve"> over the medium to long term</w:t>
      </w:r>
      <w:r w:rsidR="0000487A">
        <w:rPr>
          <w:rFonts w:ascii="Garamond" w:hAnsi="Garamond"/>
          <w:lang w:val="en-US"/>
        </w:rPr>
        <w:t xml:space="preserve"> in order to promote economic recovery. </w:t>
      </w:r>
    </w:p>
    <w:p w14:paraId="11A75124" w14:textId="77777777" w:rsidR="000D34E2" w:rsidRPr="00790822" w:rsidRDefault="000D34E2" w:rsidP="000D34E2">
      <w:pPr>
        <w:spacing w:after="0" w:line="240" w:lineRule="auto"/>
        <w:jc w:val="both"/>
        <w:rPr>
          <w:rFonts w:ascii="Garamond" w:hAnsi="Garamond"/>
          <w:b/>
          <w:bCs/>
          <w:lang w:val="en-US"/>
        </w:rPr>
      </w:pPr>
    </w:p>
    <w:p w14:paraId="5AE08554" w14:textId="1206E925" w:rsidR="000D34E2" w:rsidRPr="00790822" w:rsidRDefault="002F5B77" w:rsidP="008C219D">
      <w:pPr>
        <w:pStyle w:val="ListParagraph"/>
        <w:numPr>
          <w:ilvl w:val="0"/>
          <w:numId w:val="1"/>
        </w:numPr>
        <w:spacing w:after="0" w:line="240" w:lineRule="auto"/>
        <w:ind w:left="426" w:hanging="426"/>
        <w:jc w:val="both"/>
        <w:rPr>
          <w:rFonts w:ascii="Garamond" w:hAnsi="Garamond" w:cstheme="minorHAnsi"/>
          <w:b/>
          <w:bCs/>
          <w:color w:val="000000" w:themeColor="text1"/>
        </w:rPr>
      </w:pPr>
      <w:r w:rsidRPr="00790822">
        <w:rPr>
          <w:rFonts w:ascii="Garamond" w:hAnsi="Garamond" w:cstheme="minorHAnsi"/>
          <w:b/>
          <w:bCs/>
          <w:color w:val="000000" w:themeColor="text1"/>
          <w:lang w:val="en-US" w:eastAsia="zh-CN"/>
        </w:rPr>
        <w:t xml:space="preserve">Keep </w:t>
      </w:r>
      <w:r w:rsidR="000D34E2" w:rsidRPr="00790822">
        <w:rPr>
          <w:rFonts w:ascii="Garamond" w:hAnsi="Garamond" w:cstheme="minorHAnsi"/>
          <w:b/>
          <w:bCs/>
          <w:color w:val="000000" w:themeColor="text1"/>
          <w:lang w:val="en-US" w:eastAsia="zh-CN"/>
        </w:rPr>
        <w:t>markets for goods</w:t>
      </w:r>
      <w:r w:rsidR="00E27EA6" w:rsidRPr="00790822">
        <w:rPr>
          <w:rFonts w:ascii="Garamond" w:hAnsi="Garamond" w:cstheme="minorHAnsi"/>
          <w:b/>
          <w:bCs/>
          <w:color w:val="000000" w:themeColor="text1"/>
          <w:lang w:val="en-US" w:eastAsia="zh-CN"/>
        </w:rPr>
        <w:t xml:space="preserve">, </w:t>
      </w:r>
      <w:r w:rsidR="000D34E2" w:rsidRPr="00790822">
        <w:rPr>
          <w:rFonts w:ascii="Garamond" w:hAnsi="Garamond" w:cstheme="minorHAnsi"/>
          <w:b/>
          <w:bCs/>
          <w:color w:val="000000" w:themeColor="text1"/>
          <w:lang w:val="en-US" w:eastAsia="zh-CN"/>
        </w:rPr>
        <w:t>services</w:t>
      </w:r>
      <w:r w:rsidR="00E27EA6" w:rsidRPr="00790822">
        <w:rPr>
          <w:rFonts w:ascii="Garamond" w:hAnsi="Garamond" w:cstheme="minorHAnsi"/>
          <w:b/>
          <w:bCs/>
          <w:color w:val="000000" w:themeColor="text1"/>
          <w:lang w:val="en-US" w:eastAsia="zh-CN"/>
        </w:rPr>
        <w:t xml:space="preserve"> and </w:t>
      </w:r>
      <w:r w:rsidR="00797E60" w:rsidRPr="00790822">
        <w:rPr>
          <w:rFonts w:ascii="Garamond" w:hAnsi="Garamond" w:cstheme="minorHAnsi"/>
          <w:b/>
          <w:bCs/>
          <w:color w:val="000000" w:themeColor="text1"/>
          <w:lang w:val="en-US" w:eastAsia="zh-CN"/>
        </w:rPr>
        <w:t>investment</w:t>
      </w:r>
      <w:r w:rsidRPr="00790822">
        <w:rPr>
          <w:rFonts w:ascii="Garamond" w:hAnsi="Garamond" w:cstheme="minorHAnsi"/>
          <w:b/>
          <w:bCs/>
          <w:color w:val="000000" w:themeColor="text1"/>
          <w:lang w:val="en-US" w:eastAsia="zh-CN"/>
        </w:rPr>
        <w:t xml:space="preserve"> open</w:t>
      </w:r>
    </w:p>
    <w:p w14:paraId="12D601B2" w14:textId="0269AA97" w:rsidR="000D34E2" w:rsidRPr="00AD4A8E" w:rsidRDefault="00713FD7" w:rsidP="00AF45BA">
      <w:pPr>
        <w:pStyle w:val="ListParagraph"/>
        <w:numPr>
          <w:ilvl w:val="0"/>
          <w:numId w:val="2"/>
        </w:numPr>
        <w:spacing w:after="0" w:line="240" w:lineRule="auto"/>
        <w:ind w:hanging="294"/>
        <w:contextualSpacing w:val="0"/>
        <w:jc w:val="both"/>
        <w:rPr>
          <w:rFonts w:ascii="Garamond" w:hAnsi="Garamond" w:cstheme="minorHAnsi"/>
          <w:color w:val="000000" w:themeColor="text1"/>
          <w:lang w:val="en-US"/>
        </w:rPr>
      </w:pPr>
      <w:r>
        <w:rPr>
          <w:rFonts w:ascii="Garamond" w:hAnsi="Garamond" w:cstheme="minorHAnsi"/>
          <w:color w:val="000000" w:themeColor="text1"/>
          <w:lang w:val="en-US"/>
        </w:rPr>
        <w:t>R</w:t>
      </w:r>
      <w:r w:rsidR="0071650E" w:rsidRPr="00790822">
        <w:rPr>
          <w:rFonts w:ascii="Garamond" w:hAnsi="Garamond" w:cstheme="minorHAnsi"/>
          <w:color w:val="000000" w:themeColor="text1"/>
          <w:lang w:val="en-US"/>
        </w:rPr>
        <w:t xml:space="preserve">emove </w:t>
      </w:r>
      <w:r w:rsidR="000D34E2" w:rsidRPr="00790822">
        <w:rPr>
          <w:rFonts w:ascii="Garamond" w:hAnsi="Garamond" w:cstheme="minorHAnsi"/>
          <w:color w:val="000000" w:themeColor="text1"/>
          <w:lang w:val="en-US"/>
        </w:rPr>
        <w:t xml:space="preserve">all </w:t>
      </w:r>
      <w:r>
        <w:rPr>
          <w:rFonts w:ascii="Garamond" w:hAnsi="Garamond" w:cstheme="minorHAnsi"/>
          <w:color w:val="000000" w:themeColor="text1"/>
          <w:lang w:val="en-US"/>
        </w:rPr>
        <w:t xml:space="preserve">unjustified </w:t>
      </w:r>
      <w:r w:rsidR="000D34E2" w:rsidRPr="00790822">
        <w:rPr>
          <w:rFonts w:ascii="Garamond" w:hAnsi="Garamond" w:cstheme="minorHAnsi"/>
          <w:color w:val="000000" w:themeColor="text1"/>
          <w:lang w:val="en-US"/>
        </w:rPr>
        <w:t>export restrictions and bans on an agreed list of essential medical supplies,</w:t>
      </w:r>
      <w:r w:rsidR="00AD4A8E">
        <w:rPr>
          <w:rFonts w:ascii="Garamond" w:hAnsi="Garamond" w:cstheme="minorHAnsi"/>
          <w:color w:val="000000" w:themeColor="text1"/>
          <w:lang w:val="en-US"/>
        </w:rPr>
        <w:t xml:space="preserve"> and c</w:t>
      </w:r>
      <w:r w:rsidR="000D34E2" w:rsidRPr="00AD4A8E">
        <w:rPr>
          <w:rFonts w:ascii="Garamond" w:hAnsi="Garamond" w:cstheme="minorHAnsi"/>
          <w:color w:val="000000" w:themeColor="text1"/>
          <w:lang w:val="en-US"/>
        </w:rPr>
        <w:t>ommit to a sectoral approach for a standstill followed by elimination of tariffs and non-tariff barriers on an agreed list of essential medical supplies and basic hygiene products.</w:t>
      </w:r>
    </w:p>
    <w:p w14:paraId="69A502AE" w14:textId="3A20EBC1" w:rsidR="00CF598C" w:rsidRPr="00CF598C" w:rsidRDefault="00336EB3" w:rsidP="00AF45BA">
      <w:pPr>
        <w:pStyle w:val="ListParagraph"/>
        <w:numPr>
          <w:ilvl w:val="0"/>
          <w:numId w:val="2"/>
        </w:numPr>
        <w:spacing w:after="0" w:line="240" w:lineRule="auto"/>
        <w:ind w:hanging="294"/>
        <w:contextualSpacing w:val="0"/>
        <w:jc w:val="both"/>
        <w:rPr>
          <w:rFonts w:ascii="Garamond" w:hAnsi="Garamond" w:cstheme="minorHAnsi"/>
          <w:color w:val="000000" w:themeColor="text1"/>
          <w:lang w:val="en-US"/>
        </w:rPr>
      </w:pPr>
      <w:r>
        <w:rPr>
          <w:rFonts w:ascii="Garamond" w:hAnsi="Garamond" w:cstheme="minorHAnsi"/>
          <w:color w:val="000000" w:themeColor="text1"/>
          <w:lang w:val="en-US"/>
        </w:rPr>
        <w:t>S</w:t>
      </w:r>
      <w:r w:rsidR="00CF598C" w:rsidRPr="00CF598C">
        <w:rPr>
          <w:rFonts w:ascii="Garamond" w:hAnsi="Garamond" w:cstheme="minorHAnsi"/>
          <w:color w:val="000000" w:themeColor="text1"/>
          <w:lang w:val="en-US"/>
        </w:rPr>
        <w:t>hor</w:t>
      </w:r>
      <w:r>
        <w:rPr>
          <w:rFonts w:ascii="Garamond" w:hAnsi="Garamond" w:cstheme="minorHAnsi"/>
          <w:color w:val="000000" w:themeColor="text1"/>
          <w:lang w:val="en-US"/>
        </w:rPr>
        <w:t>e</w:t>
      </w:r>
      <w:r w:rsidR="00CF598C" w:rsidRPr="00CF598C">
        <w:rPr>
          <w:rFonts w:ascii="Garamond" w:hAnsi="Garamond" w:cstheme="minorHAnsi"/>
          <w:color w:val="000000" w:themeColor="text1"/>
          <w:lang w:val="en-US"/>
        </w:rPr>
        <w:t xml:space="preserve"> up trade in food and agriculture, by removing </w:t>
      </w:r>
      <w:r w:rsidR="000D3860">
        <w:rPr>
          <w:rFonts w:ascii="Garamond" w:hAnsi="Garamond" w:cstheme="minorHAnsi"/>
          <w:color w:val="000000" w:themeColor="text1"/>
          <w:lang w:val="en-US"/>
        </w:rPr>
        <w:t xml:space="preserve">unjustified </w:t>
      </w:r>
      <w:r w:rsidR="00CF598C" w:rsidRPr="00CF598C">
        <w:rPr>
          <w:rFonts w:ascii="Garamond" w:hAnsi="Garamond" w:cstheme="minorHAnsi"/>
          <w:color w:val="000000" w:themeColor="text1"/>
          <w:lang w:val="en-US"/>
        </w:rPr>
        <w:t>export restrictions, eliminating</w:t>
      </w:r>
      <w:r>
        <w:rPr>
          <w:rFonts w:ascii="Garamond" w:hAnsi="Garamond" w:cstheme="minorHAnsi"/>
          <w:color w:val="000000" w:themeColor="text1"/>
          <w:lang w:val="en-US"/>
        </w:rPr>
        <w:t xml:space="preserve"> </w:t>
      </w:r>
      <w:r w:rsidR="00CF598C" w:rsidRPr="00CF598C">
        <w:rPr>
          <w:rFonts w:ascii="Garamond" w:hAnsi="Garamond" w:cstheme="minorHAnsi"/>
          <w:color w:val="000000" w:themeColor="text1"/>
          <w:lang w:val="en-US"/>
        </w:rPr>
        <w:t>non-tariff barriers, strengthening value chains and enhancing transparency, as some APEC members have already committed to do in the WTO statement of 22 April.</w:t>
      </w:r>
    </w:p>
    <w:p w14:paraId="3BF86719" w14:textId="38B053DB" w:rsidR="00AD4A8E" w:rsidRPr="00790822" w:rsidRDefault="00AD4A8E" w:rsidP="00AF45BA">
      <w:pPr>
        <w:pStyle w:val="ListParagraph"/>
        <w:numPr>
          <w:ilvl w:val="0"/>
          <w:numId w:val="2"/>
        </w:numPr>
        <w:spacing w:after="0" w:line="240" w:lineRule="auto"/>
        <w:ind w:hanging="294"/>
        <w:contextualSpacing w:val="0"/>
        <w:jc w:val="both"/>
        <w:rPr>
          <w:rFonts w:ascii="Garamond" w:hAnsi="Garamond"/>
          <w:color w:val="000000" w:themeColor="text1"/>
          <w:lang w:val="en-US"/>
        </w:rPr>
      </w:pPr>
      <w:r w:rsidRPr="00AD4A8E">
        <w:rPr>
          <w:rFonts w:ascii="Garamond" w:hAnsi="Garamond"/>
          <w:color w:val="000000" w:themeColor="text1"/>
          <w:lang w:val="en-US"/>
        </w:rPr>
        <w:t xml:space="preserve"> </w:t>
      </w:r>
      <w:r w:rsidRPr="00790822">
        <w:rPr>
          <w:rFonts w:ascii="Garamond" w:hAnsi="Garamond"/>
          <w:color w:val="000000" w:themeColor="text1"/>
          <w:lang w:val="en-US"/>
        </w:rPr>
        <w:t>Re</w:t>
      </w:r>
      <w:r>
        <w:rPr>
          <w:rFonts w:ascii="Garamond" w:hAnsi="Garamond"/>
          <w:color w:val="000000" w:themeColor="text1"/>
          <w:lang w:val="en-US"/>
        </w:rPr>
        <w:t>sist the use</w:t>
      </w:r>
      <w:r w:rsidRPr="00790822">
        <w:rPr>
          <w:rFonts w:ascii="Garamond" w:hAnsi="Garamond"/>
          <w:color w:val="000000" w:themeColor="text1"/>
          <w:lang w:val="en-US"/>
        </w:rPr>
        <w:t xml:space="preserve"> </w:t>
      </w:r>
      <w:r>
        <w:rPr>
          <w:rFonts w:ascii="Garamond" w:hAnsi="Garamond"/>
          <w:color w:val="000000" w:themeColor="text1"/>
          <w:lang w:val="en-US"/>
        </w:rPr>
        <w:t xml:space="preserve">of </w:t>
      </w:r>
      <w:r w:rsidRPr="00790822">
        <w:rPr>
          <w:rFonts w:ascii="Garamond" w:hAnsi="Garamond"/>
          <w:color w:val="000000" w:themeColor="text1"/>
          <w:lang w:val="en-US"/>
        </w:rPr>
        <w:t>measures that will discourage foreign direct investments</w:t>
      </w:r>
      <w:r>
        <w:rPr>
          <w:rFonts w:ascii="Garamond" w:hAnsi="Garamond"/>
          <w:color w:val="000000" w:themeColor="text1"/>
          <w:lang w:val="en-US"/>
        </w:rPr>
        <w:t>.</w:t>
      </w:r>
    </w:p>
    <w:p w14:paraId="1863D30F" w14:textId="77777777" w:rsidR="000D34E2" w:rsidRPr="00790822" w:rsidRDefault="000D34E2" w:rsidP="000D34E2">
      <w:pPr>
        <w:spacing w:after="0" w:line="240" w:lineRule="auto"/>
        <w:ind w:left="284"/>
        <w:contextualSpacing/>
        <w:jc w:val="both"/>
        <w:rPr>
          <w:rFonts w:ascii="Garamond" w:hAnsi="Garamond" w:cstheme="minorHAnsi"/>
          <w:color w:val="000000" w:themeColor="text1"/>
        </w:rPr>
      </w:pPr>
    </w:p>
    <w:p w14:paraId="48A49C06" w14:textId="18A45067" w:rsidR="000D34E2" w:rsidRPr="00857D38" w:rsidRDefault="00857D38" w:rsidP="00AF45BA">
      <w:pPr>
        <w:pStyle w:val="ListParagraph"/>
        <w:numPr>
          <w:ilvl w:val="0"/>
          <w:numId w:val="1"/>
        </w:numPr>
        <w:spacing w:after="0" w:line="240" w:lineRule="auto"/>
        <w:ind w:left="426" w:hanging="426"/>
        <w:jc w:val="both"/>
        <w:rPr>
          <w:rFonts w:ascii="Garamond" w:hAnsi="Garamond"/>
          <w:color w:val="000000" w:themeColor="text1"/>
        </w:rPr>
      </w:pPr>
      <w:r>
        <w:rPr>
          <w:rFonts w:ascii="Garamond" w:hAnsi="Garamond" w:cs="Calibri"/>
          <w:b/>
          <w:bCs/>
          <w:color w:val="000000" w:themeColor="text1"/>
        </w:rPr>
        <w:t>Minimize supply chain disruption</w:t>
      </w:r>
    </w:p>
    <w:p w14:paraId="6E026725" w14:textId="23B6E88A" w:rsidR="000D34E2" w:rsidRPr="007C7097" w:rsidRDefault="0042053D" w:rsidP="00AF45BA">
      <w:pPr>
        <w:pStyle w:val="ListParagraph"/>
        <w:numPr>
          <w:ilvl w:val="0"/>
          <w:numId w:val="5"/>
        </w:numPr>
        <w:spacing w:after="0" w:line="240" w:lineRule="auto"/>
        <w:ind w:hanging="294"/>
        <w:jc w:val="both"/>
        <w:rPr>
          <w:rFonts w:ascii="Garamond" w:hAnsi="Garamond"/>
          <w:color w:val="000000" w:themeColor="text1"/>
        </w:rPr>
      </w:pPr>
      <w:r>
        <w:rPr>
          <w:rFonts w:ascii="Garamond" w:hAnsi="Garamond" w:cs="Calibri"/>
          <w:color w:val="000000" w:themeColor="text1"/>
          <w:lang w:val="en-US"/>
        </w:rPr>
        <w:t xml:space="preserve">Enter into agreements such </w:t>
      </w:r>
      <w:r w:rsidR="00556C73" w:rsidRPr="00790822">
        <w:rPr>
          <w:rFonts w:ascii="Garamond" w:hAnsi="Garamond" w:cs="Calibri"/>
          <w:color w:val="000000" w:themeColor="text1"/>
        </w:rPr>
        <w:t>as those between New Zealand and Singapore</w:t>
      </w:r>
      <w:r w:rsidR="00556C73" w:rsidRPr="00790822">
        <w:rPr>
          <w:rFonts w:ascii="Garamond" w:hAnsi="Garamond" w:cs="Calibri"/>
          <w:color w:val="000000" w:themeColor="text1"/>
          <w:lang w:val="en-US"/>
        </w:rPr>
        <w:t xml:space="preserve"> </w:t>
      </w:r>
      <w:r w:rsidR="000D34E2" w:rsidRPr="00790822">
        <w:rPr>
          <w:rFonts w:ascii="Garamond" w:hAnsi="Garamond" w:cs="Calibri"/>
          <w:color w:val="000000" w:themeColor="text1"/>
          <w:lang w:val="en-US"/>
        </w:rPr>
        <w:t xml:space="preserve">to keep supply chains working and food trade flowing and lead the development of similar multilateral commitments in </w:t>
      </w:r>
      <w:r w:rsidR="000D34E2" w:rsidRPr="007C7097">
        <w:rPr>
          <w:rFonts w:ascii="Garamond" w:hAnsi="Garamond" w:cs="Calibri"/>
          <w:color w:val="000000" w:themeColor="text1"/>
          <w:lang w:val="en-US"/>
        </w:rPr>
        <w:t>the WTO</w:t>
      </w:r>
      <w:r w:rsidR="008E0468" w:rsidRPr="007C7097">
        <w:rPr>
          <w:rFonts w:ascii="Garamond" w:hAnsi="Garamond" w:cs="Calibri"/>
          <w:color w:val="000000" w:themeColor="text1"/>
          <w:lang w:val="en-US"/>
        </w:rPr>
        <w:t>.</w:t>
      </w:r>
    </w:p>
    <w:p w14:paraId="6D3BF5E4" w14:textId="2CD06BA9" w:rsidR="000D34E2" w:rsidRPr="007C7097" w:rsidRDefault="006774AF" w:rsidP="00AF45BA">
      <w:pPr>
        <w:pStyle w:val="ListParagraph"/>
        <w:numPr>
          <w:ilvl w:val="1"/>
          <w:numId w:val="1"/>
        </w:numPr>
        <w:spacing w:after="0" w:line="240" w:lineRule="auto"/>
        <w:ind w:hanging="294"/>
        <w:jc w:val="both"/>
        <w:rPr>
          <w:rFonts w:ascii="Garamond" w:hAnsi="Garamond"/>
          <w:color w:val="000000" w:themeColor="text1"/>
        </w:rPr>
      </w:pPr>
      <w:r w:rsidRPr="007C7097">
        <w:rPr>
          <w:rFonts w:ascii="Garamond" w:hAnsi="Garamond" w:cs="Calibri"/>
          <w:color w:val="000000" w:themeColor="text1"/>
          <w:lang w:val="en-US"/>
        </w:rPr>
        <w:t xml:space="preserve">Resist any approach towards de-globalization and </w:t>
      </w:r>
      <w:r w:rsidR="007C7097" w:rsidRPr="007C7097">
        <w:rPr>
          <w:rFonts w:ascii="Garamond" w:hAnsi="Garamond" w:cs="Calibri"/>
          <w:color w:val="000000" w:themeColor="text1"/>
          <w:lang w:val="en-US"/>
        </w:rPr>
        <w:t xml:space="preserve">encourage </w:t>
      </w:r>
      <w:r w:rsidRPr="007C7097">
        <w:rPr>
          <w:rFonts w:ascii="Garamond" w:hAnsi="Garamond" w:cs="Calibri"/>
          <w:color w:val="000000" w:themeColor="text1"/>
          <w:lang w:val="en-US"/>
        </w:rPr>
        <w:t xml:space="preserve">diversification </w:t>
      </w:r>
      <w:r w:rsidR="00525F85" w:rsidRPr="007C7097">
        <w:rPr>
          <w:rFonts w:ascii="Garamond" w:hAnsi="Garamond" w:cs="Calibri"/>
          <w:color w:val="000000" w:themeColor="text1"/>
          <w:lang w:val="en-US"/>
        </w:rPr>
        <w:t>to ensure open, stable and secure supply chains</w:t>
      </w:r>
      <w:r w:rsidR="007C7097" w:rsidRPr="007C7097">
        <w:rPr>
          <w:rFonts w:ascii="Garamond" w:hAnsi="Garamond" w:cs="Calibri"/>
          <w:color w:val="000000" w:themeColor="text1"/>
          <w:lang w:val="en-US"/>
        </w:rPr>
        <w:t>.</w:t>
      </w:r>
      <w:r w:rsidR="000D34E2" w:rsidRPr="007C7097">
        <w:rPr>
          <w:rFonts w:ascii="Garamond" w:hAnsi="Garamond" w:cs="Calibri"/>
          <w:color w:val="000000" w:themeColor="text1"/>
          <w:lang w:val="en-US"/>
        </w:rPr>
        <w:t> </w:t>
      </w:r>
    </w:p>
    <w:p w14:paraId="30552AFC" w14:textId="0CA6BAC6" w:rsidR="000D34E2" w:rsidRPr="00B31598" w:rsidRDefault="000D34E2" w:rsidP="00AF45BA">
      <w:pPr>
        <w:pStyle w:val="ListParagraph"/>
        <w:numPr>
          <w:ilvl w:val="1"/>
          <w:numId w:val="1"/>
        </w:numPr>
        <w:spacing w:after="0" w:line="240" w:lineRule="auto"/>
        <w:ind w:hanging="294"/>
        <w:jc w:val="both"/>
        <w:rPr>
          <w:rFonts w:ascii="Garamond" w:hAnsi="Garamond"/>
          <w:color w:val="000000" w:themeColor="text1"/>
        </w:rPr>
      </w:pPr>
      <w:r w:rsidRPr="00790822">
        <w:rPr>
          <w:rFonts w:ascii="Garamond" w:hAnsi="Garamond" w:cs="Calibri"/>
          <w:color w:val="000000" w:themeColor="text1"/>
          <w:lang w:val="en-US"/>
        </w:rPr>
        <w:lastRenderedPageBreak/>
        <w:t>Make concrete improvements to trade facilitation measures, leveraging digital technology wherever possible, including for supply-chain monitoring and digital border processes, and adopting expedited and flexible approaches to product standards and conformity assessment in emergencies.</w:t>
      </w:r>
    </w:p>
    <w:p w14:paraId="357DDA96" w14:textId="77777777" w:rsidR="006774AF" w:rsidRDefault="006774AF" w:rsidP="00AF45BA">
      <w:pPr>
        <w:pStyle w:val="ListParagraph"/>
        <w:spacing w:after="0" w:line="240" w:lineRule="auto"/>
        <w:ind w:hanging="294"/>
        <w:jc w:val="both"/>
        <w:rPr>
          <w:rFonts w:ascii="Garamond" w:hAnsi="Garamond"/>
          <w:color w:val="000000" w:themeColor="text1"/>
        </w:rPr>
      </w:pPr>
    </w:p>
    <w:p w14:paraId="387B37F1" w14:textId="6D38D6D3" w:rsidR="00AD4A8E" w:rsidRPr="00AD4A8E" w:rsidRDefault="00AD4A8E" w:rsidP="00AD4A8E">
      <w:pPr>
        <w:spacing w:after="0" w:line="240" w:lineRule="auto"/>
        <w:ind w:left="426" w:hanging="426"/>
        <w:jc w:val="both"/>
        <w:rPr>
          <w:rFonts w:ascii="Garamond" w:eastAsiaTheme="minorEastAsia" w:hAnsi="Garamond"/>
          <w:b/>
          <w:lang w:val="en-US" w:eastAsia="zh-CN"/>
        </w:rPr>
      </w:pPr>
      <w:r>
        <w:rPr>
          <w:rFonts w:ascii="Garamond" w:eastAsiaTheme="minorEastAsia" w:hAnsi="Garamond"/>
          <w:b/>
          <w:bCs/>
          <w:lang w:val="en-US" w:eastAsia="zh-CN"/>
        </w:rPr>
        <w:t>3.</w:t>
      </w:r>
      <w:r>
        <w:rPr>
          <w:rFonts w:ascii="Garamond" w:eastAsiaTheme="minorEastAsia" w:hAnsi="Garamond"/>
          <w:b/>
          <w:bCs/>
          <w:lang w:val="en-US" w:eastAsia="zh-CN"/>
        </w:rPr>
        <w:tab/>
      </w:r>
      <w:r w:rsidR="00EB0E9D">
        <w:rPr>
          <w:rFonts w:ascii="Garamond" w:eastAsiaTheme="minorEastAsia" w:hAnsi="Garamond"/>
          <w:b/>
          <w:bCs/>
          <w:lang w:val="en-US" w:eastAsia="zh-CN"/>
        </w:rPr>
        <w:t>Support MSMEs to address operational challenges, while recognizing the specific circumstances of economies and businesses</w:t>
      </w:r>
      <w:r w:rsidR="001F506A">
        <w:rPr>
          <w:rFonts w:ascii="Garamond" w:eastAsiaTheme="minorEastAsia" w:hAnsi="Garamond"/>
          <w:b/>
          <w:bCs/>
          <w:lang w:val="en-US" w:eastAsia="zh-CN"/>
        </w:rPr>
        <w:t xml:space="preserve"> </w:t>
      </w:r>
    </w:p>
    <w:p w14:paraId="6E1A6976" w14:textId="28ACF36A" w:rsidR="00A54CD9" w:rsidRPr="00FC160A" w:rsidRDefault="008C3B88" w:rsidP="00AF45BA">
      <w:pPr>
        <w:pStyle w:val="ListParagraph"/>
        <w:numPr>
          <w:ilvl w:val="0"/>
          <w:numId w:val="8"/>
        </w:numPr>
        <w:spacing w:after="0" w:line="240" w:lineRule="auto"/>
        <w:ind w:hanging="294"/>
        <w:jc w:val="both"/>
        <w:rPr>
          <w:rFonts w:ascii="Garamond" w:eastAsiaTheme="minorEastAsia" w:hAnsi="Garamond"/>
          <w:lang w:val="en-US" w:eastAsia="zh-CN"/>
        </w:rPr>
      </w:pPr>
      <w:r>
        <w:rPr>
          <w:rFonts w:ascii="Garamond" w:eastAsiaTheme="minorEastAsia" w:hAnsi="Garamond"/>
          <w:lang w:val="en-US" w:eastAsia="zh-CN"/>
        </w:rPr>
        <w:t>Intensify</w:t>
      </w:r>
      <w:r w:rsidR="00A54CD9" w:rsidRPr="00FC160A">
        <w:rPr>
          <w:rFonts w:ascii="Garamond" w:eastAsiaTheme="minorEastAsia" w:hAnsi="Garamond"/>
          <w:lang w:val="en-US" w:eastAsia="zh-CN"/>
        </w:rPr>
        <w:t xml:space="preserve"> efforts to enhance the financial inclusion of MSMEs </w:t>
      </w:r>
      <w:r w:rsidR="00970133">
        <w:rPr>
          <w:rFonts w:ascii="Garamond" w:eastAsiaTheme="minorEastAsia" w:hAnsi="Garamond"/>
          <w:lang w:val="en-US" w:eastAsia="zh-CN"/>
        </w:rPr>
        <w:t xml:space="preserve">and their participation in international trade </w:t>
      </w:r>
      <w:r w:rsidR="00A54CD9" w:rsidRPr="00FC160A">
        <w:rPr>
          <w:rFonts w:ascii="Garamond" w:eastAsiaTheme="minorEastAsia" w:hAnsi="Garamond"/>
          <w:lang w:val="en-US" w:eastAsia="zh-CN"/>
        </w:rPr>
        <w:t xml:space="preserve">through a more </w:t>
      </w:r>
      <w:r w:rsidR="00EC066E">
        <w:rPr>
          <w:rFonts w:ascii="Garamond" w:eastAsiaTheme="minorEastAsia" w:hAnsi="Garamond"/>
          <w:lang w:val="en-US" w:eastAsia="zh-CN"/>
        </w:rPr>
        <w:t xml:space="preserve">robust </w:t>
      </w:r>
      <w:r w:rsidR="00A54CD9" w:rsidRPr="00FC160A">
        <w:rPr>
          <w:rFonts w:ascii="Garamond" w:eastAsiaTheme="minorEastAsia" w:hAnsi="Garamond"/>
          <w:lang w:val="en-US" w:eastAsia="zh-CN"/>
        </w:rPr>
        <w:t xml:space="preserve">enabling environment and capacity-building </w:t>
      </w:r>
      <w:r w:rsidR="004F4809">
        <w:rPr>
          <w:rFonts w:ascii="Garamond" w:eastAsiaTheme="minorEastAsia" w:hAnsi="Garamond"/>
          <w:lang w:val="en-US" w:eastAsia="zh-CN"/>
        </w:rPr>
        <w:t xml:space="preserve">for </w:t>
      </w:r>
      <w:r w:rsidR="00CF43E4">
        <w:rPr>
          <w:rFonts w:ascii="Garamond" w:eastAsiaTheme="minorEastAsia" w:hAnsi="Garamond"/>
          <w:lang w:val="en-US" w:eastAsia="zh-CN"/>
        </w:rPr>
        <w:t>digital transformation</w:t>
      </w:r>
      <w:r w:rsidR="00616A8B">
        <w:rPr>
          <w:rFonts w:ascii="Garamond" w:eastAsiaTheme="minorEastAsia" w:hAnsi="Garamond"/>
          <w:lang w:val="en-US" w:eastAsia="zh-CN"/>
        </w:rPr>
        <w:t>.</w:t>
      </w:r>
    </w:p>
    <w:p w14:paraId="064CBBCC" w14:textId="17F8F8C3" w:rsidR="00A54CD9" w:rsidRPr="00554562" w:rsidRDefault="00A54CD9" w:rsidP="00AF45BA">
      <w:pPr>
        <w:pStyle w:val="ListParagraph"/>
        <w:numPr>
          <w:ilvl w:val="0"/>
          <w:numId w:val="3"/>
        </w:numPr>
        <w:ind w:hanging="294"/>
        <w:jc w:val="both"/>
        <w:rPr>
          <w:rFonts w:ascii="Garamond" w:eastAsiaTheme="minorEastAsia" w:hAnsi="Garamond"/>
          <w:lang w:val="en-US" w:eastAsia="zh-CN"/>
        </w:rPr>
      </w:pPr>
      <w:bookmarkStart w:id="0" w:name="_Hlk44061035"/>
      <w:r w:rsidRPr="00554562">
        <w:rPr>
          <w:rFonts w:ascii="Garamond" w:eastAsiaTheme="minorEastAsia" w:hAnsi="Garamond"/>
          <w:iCs/>
          <w:lang w:val="en-US" w:eastAsia="zh-CN"/>
        </w:rPr>
        <w:t xml:space="preserve">Alleviate </w:t>
      </w:r>
      <w:r w:rsidRPr="00AD4A8E">
        <w:rPr>
          <w:rFonts w:ascii="Garamond" w:eastAsiaTheme="minorEastAsia" w:hAnsi="Garamond"/>
          <w:iCs/>
          <w:lang w:val="en-US" w:eastAsia="zh-CN"/>
        </w:rPr>
        <w:t>l</w:t>
      </w:r>
      <w:r w:rsidRPr="0005767F">
        <w:rPr>
          <w:rFonts w:ascii="Garamond" w:eastAsiaTheme="minorEastAsia" w:hAnsi="Garamond"/>
          <w:iCs/>
          <w:lang w:val="en-US" w:eastAsia="zh-CN"/>
        </w:rPr>
        <w:t>iq</w:t>
      </w:r>
      <w:r w:rsidRPr="00554562">
        <w:rPr>
          <w:rFonts w:ascii="Garamond" w:eastAsiaTheme="minorEastAsia" w:hAnsi="Garamond"/>
          <w:iCs/>
          <w:lang w:val="en-US" w:eastAsia="zh-CN"/>
        </w:rPr>
        <w:t>uidity challenges</w:t>
      </w:r>
      <w:r w:rsidR="00970133">
        <w:rPr>
          <w:rFonts w:ascii="Garamond" w:eastAsiaTheme="minorEastAsia" w:hAnsi="Garamond"/>
          <w:iCs/>
          <w:lang w:val="en-US" w:eastAsia="zh-CN"/>
        </w:rPr>
        <w:t xml:space="preserve"> </w:t>
      </w:r>
      <w:r w:rsidR="009465D8">
        <w:rPr>
          <w:rFonts w:ascii="Garamond" w:eastAsiaTheme="minorEastAsia" w:hAnsi="Garamond"/>
          <w:iCs/>
          <w:lang w:val="en-US" w:eastAsia="zh-CN"/>
        </w:rPr>
        <w:t xml:space="preserve">where needed </w:t>
      </w:r>
      <w:r w:rsidRPr="00554562">
        <w:rPr>
          <w:rFonts w:ascii="Garamond" w:eastAsiaTheme="minorEastAsia" w:hAnsi="Garamond"/>
          <w:iCs/>
          <w:lang w:val="en-US" w:eastAsia="zh-CN"/>
        </w:rPr>
        <w:t xml:space="preserve">through </w:t>
      </w:r>
      <w:r w:rsidR="009465D8">
        <w:rPr>
          <w:rFonts w:ascii="Garamond" w:eastAsiaTheme="minorEastAsia" w:hAnsi="Garamond"/>
          <w:iCs/>
          <w:lang w:val="en-US" w:eastAsia="zh-CN"/>
        </w:rPr>
        <w:t xml:space="preserve">temporary </w:t>
      </w:r>
      <w:r w:rsidR="00DD26D2">
        <w:rPr>
          <w:rFonts w:ascii="Garamond" w:eastAsiaTheme="minorEastAsia" w:hAnsi="Garamond"/>
          <w:iCs/>
          <w:lang w:val="en-US" w:eastAsia="zh-CN"/>
        </w:rPr>
        <w:t xml:space="preserve">support measures </w:t>
      </w:r>
      <w:r w:rsidRPr="00554562">
        <w:rPr>
          <w:rFonts w:ascii="Garamond" w:eastAsiaTheme="minorEastAsia" w:hAnsi="Garamond"/>
          <w:iCs/>
          <w:lang w:val="en-US" w:eastAsia="zh-CN"/>
        </w:rPr>
        <w:t>and emergency credit programs</w:t>
      </w:r>
      <w:r w:rsidR="00EB0E9D">
        <w:rPr>
          <w:rFonts w:ascii="Garamond" w:eastAsiaTheme="minorEastAsia" w:hAnsi="Garamond"/>
          <w:iCs/>
          <w:lang w:val="en-US" w:eastAsia="zh-CN"/>
        </w:rPr>
        <w:t xml:space="preserve"> tailored to the specific circumstance</w:t>
      </w:r>
      <w:r w:rsidR="007769AE">
        <w:rPr>
          <w:rFonts w:ascii="Garamond" w:eastAsiaTheme="minorEastAsia" w:hAnsi="Garamond"/>
          <w:iCs/>
          <w:lang w:val="en-US" w:eastAsia="zh-CN"/>
        </w:rPr>
        <w:t>s</w:t>
      </w:r>
      <w:r w:rsidR="00EB0E9D">
        <w:rPr>
          <w:rFonts w:ascii="Garamond" w:eastAsiaTheme="minorEastAsia" w:hAnsi="Garamond"/>
          <w:iCs/>
          <w:lang w:val="en-US" w:eastAsia="zh-CN"/>
        </w:rPr>
        <w:t xml:space="preserve"> of MSMEs and economies</w:t>
      </w:r>
      <w:r w:rsidR="009465D8">
        <w:rPr>
          <w:rFonts w:ascii="Garamond" w:eastAsiaTheme="minorEastAsia" w:hAnsi="Garamond"/>
          <w:iCs/>
          <w:lang w:val="en-US" w:eastAsia="zh-CN"/>
        </w:rPr>
        <w:t>.</w:t>
      </w:r>
    </w:p>
    <w:p w14:paraId="48CD3230" w14:textId="7CCC5AC8" w:rsidR="00A54CD9" w:rsidRDefault="009465D8" w:rsidP="00AF45BA">
      <w:pPr>
        <w:pStyle w:val="ListParagraph"/>
        <w:numPr>
          <w:ilvl w:val="0"/>
          <w:numId w:val="3"/>
        </w:numPr>
        <w:ind w:hanging="294"/>
        <w:jc w:val="both"/>
        <w:rPr>
          <w:rFonts w:ascii="Garamond" w:eastAsiaTheme="minorEastAsia" w:hAnsi="Garamond"/>
          <w:lang w:val="en-US" w:eastAsia="zh-CN"/>
        </w:rPr>
      </w:pPr>
      <w:bookmarkStart w:id="1" w:name="_Hlk44061135"/>
      <w:bookmarkEnd w:id="0"/>
      <w:r>
        <w:rPr>
          <w:rFonts w:ascii="Garamond" w:eastAsiaTheme="minorEastAsia" w:hAnsi="Garamond"/>
          <w:iCs/>
          <w:lang w:val="en-US" w:eastAsia="zh-CN"/>
        </w:rPr>
        <w:t>F</w:t>
      </w:r>
      <w:r w:rsidR="00A54CD9" w:rsidRPr="00554562">
        <w:rPr>
          <w:rFonts w:ascii="Garamond" w:eastAsiaTheme="minorEastAsia" w:hAnsi="Garamond"/>
          <w:lang w:val="en-US" w:eastAsia="zh-CN"/>
        </w:rPr>
        <w:t xml:space="preserve">acilitate speedy restructuring of non-viable businesses and accelerate fresh starts of insolvent businesses </w:t>
      </w:r>
      <w:r>
        <w:rPr>
          <w:rFonts w:ascii="Garamond" w:eastAsiaTheme="minorEastAsia" w:hAnsi="Garamond"/>
          <w:lang w:val="en-US" w:eastAsia="zh-CN"/>
        </w:rPr>
        <w:t xml:space="preserve">by streamlining personal insolvency regimes and introducing </w:t>
      </w:r>
      <w:r w:rsidR="0005767F">
        <w:rPr>
          <w:rFonts w:ascii="Garamond" w:eastAsiaTheme="minorEastAsia" w:hAnsi="Garamond"/>
          <w:lang w:val="en-US" w:eastAsia="zh-CN"/>
        </w:rPr>
        <w:t>well-designed support programs</w:t>
      </w:r>
      <w:r>
        <w:rPr>
          <w:rFonts w:ascii="Garamond" w:eastAsiaTheme="minorEastAsia" w:hAnsi="Garamond"/>
          <w:lang w:val="en-US" w:eastAsia="zh-CN"/>
        </w:rPr>
        <w:t xml:space="preserve"> where needed.</w:t>
      </w:r>
      <w:r w:rsidR="0005767F">
        <w:rPr>
          <w:rFonts w:ascii="Garamond" w:eastAsiaTheme="minorEastAsia" w:hAnsi="Garamond"/>
          <w:lang w:val="en-US" w:eastAsia="zh-CN"/>
        </w:rPr>
        <w:t xml:space="preserve"> </w:t>
      </w:r>
      <w:r w:rsidR="00A54CD9">
        <w:rPr>
          <w:rFonts w:ascii="Garamond" w:eastAsiaTheme="minorEastAsia" w:hAnsi="Garamond"/>
          <w:lang w:val="en-US" w:eastAsia="zh-CN"/>
        </w:rPr>
        <w:t xml:space="preserve"> </w:t>
      </w:r>
    </w:p>
    <w:bookmarkEnd w:id="1"/>
    <w:p w14:paraId="1297F30E" w14:textId="77777777" w:rsidR="00AD4A8E" w:rsidRPr="00554562" w:rsidRDefault="00AD4A8E" w:rsidP="00AD4A8E">
      <w:pPr>
        <w:pStyle w:val="ListParagraph"/>
        <w:jc w:val="both"/>
        <w:rPr>
          <w:rFonts w:ascii="Garamond" w:eastAsiaTheme="minorEastAsia" w:hAnsi="Garamond"/>
          <w:lang w:val="en-US" w:eastAsia="zh-CN"/>
        </w:rPr>
      </w:pPr>
    </w:p>
    <w:p w14:paraId="75C0CCCC" w14:textId="683BEDB2" w:rsidR="00957411" w:rsidRPr="00AD4A8E" w:rsidRDefault="00957411" w:rsidP="00AD4A8E">
      <w:pPr>
        <w:pStyle w:val="ListParagraph"/>
        <w:numPr>
          <w:ilvl w:val="0"/>
          <w:numId w:val="11"/>
        </w:numPr>
        <w:spacing w:after="0" w:line="240" w:lineRule="auto"/>
        <w:ind w:left="426" w:hanging="426"/>
        <w:jc w:val="both"/>
        <w:rPr>
          <w:rFonts w:ascii="Garamond" w:hAnsi="Garamond"/>
        </w:rPr>
      </w:pPr>
      <w:r w:rsidRPr="00AD4A8E">
        <w:rPr>
          <w:rFonts w:ascii="Garamond" w:eastAsia="Calibri" w:hAnsi="Garamond"/>
          <w:b/>
          <w:bCs/>
          <w:iCs/>
          <w:color w:val="000000" w:themeColor="text1"/>
          <w:lang w:eastAsia="zh-CN"/>
        </w:rPr>
        <w:t>Leverage digital connectivity</w:t>
      </w:r>
    </w:p>
    <w:p w14:paraId="544519D8" w14:textId="2CC1B31A" w:rsidR="006774AF" w:rsidRPr="0042053D" w:rsidRDefault="006774AF" w:rsidP="00AF45BA">
      <w:pPr>
        <w:pStyle w:val="ListParagraph"/>
        <w:numPr>
          <w:ilvl w:val="0"/>
          <w:numId w:val="8"/>
        </w:numPr>
        <w:spacing w:after="0" w:line="240" w:lineRule="auto"/>
        <w:ind w:hanging="294"/>
        <w:jc w:val="both"/>
        <w:rPr>
          <w:rFonts w:ascii="Garamond" w:hAnsi="Garamond" w:cstheme="minorHAnsi"/>
          <w:lang w:val="en-US"/>
        </w:rPr>
      </w:pPr>
      <w:r w:rsidRPr="0042053D">
        <w:rPr>
          <w:rFonts w:ascii="Garamond" w:hAnsi="Garamond"/>
          <w:color w:val="000000"/>
        </w:rPr>
        <w:t xml:space="preserve">Foster the development of more secure, accessible and affordable digital infrastructure for all and of free, </w:t>
      </w:r>
      <w:r w:rsidR="001F506A" w:rsidRPr="0042053D">
        <w:rPr>
          <w:rFonts w:ascii="Garamond" w:hAnsi="Garamond"/>
          <w:color w:val="000000"/>
        </w:rPr>
        <w:t>orderly</w:t>
      </w:r>
      <w:r w:rsidR="00525F85" w:rsidRPr="0042053D">
        <w:rPr>
          <w:rFonts w:ascii="Garamond" w:hAnsi="Garamond"/>
          <w:color w:val="000000"/>
        </w:rPr>
        <w:t xml:space="preserve"> </w:t>
      </w:r>
      <w:r w:rsidRPr="0042053D">
        <w:rPr>
          <w:rFonts w:ascii="Garamond" w:hAnsi="Garamond"/>
          <w:color w:val="000000"/>
        </w:rPr>
        <w:t xml:space="preserve">and secure flows of data across borders. </w:t>
      </w:r>
    </w:p>
    <w:p w14:paraId="007D931E" w14:textId="32E02CC1" w:rsidR="00957411" w:rsidRPr="00790822" w:rsidRDefault="00957411" w:rsidP="00AF45BA">
      <w:pPr>
        <w:pStyle w:val="ListParagraph"/>
        <w:numPr>
          <w:ilvl w:val="0"/>
          <w:numId w:val="4"/>
        </w:numPr>
        <w:spacing w:after="0" w:line="240" w:lineRule="auto"/>
        <w:ind w:hanging="294"/>
        <w:jc w:val="both"/>
        <w:rPr>
          <w:rFonts w:ascii="Garamond" w:hAnsi="Garamond"/>
        </w:rPr>
      </w:pPr>
      <w:r w:rsidRPr="0042053D">
        <w:rPr>
          <w:rFonts w:ascii="Garamond" w:hAnsi="Garamond" w:cstheme="minorHAnsi"/>
        </w:rPr>
        <w:t>Release bands of spectrum on a temporary basis to expedite network</w:t>
      </w:r>
      <w:r w:rsidRPr="00790822">
        <w:rPr>
          <w:rFonts w:ascii="Garamond" w:hAnsi="Garamond" w:cstheme="minorHAnsi"/>
        </w:rPr>
        <w:t xml:space="preserve"> expansion during the pandemic.</w:t>
      </w:r>
    </w:p>
    <w:p w14:paraId="420B5361" w14:textId="1827EE4F" w:rsidR="00957411" w:rsidRPr="00D50363" w:rsidRDefault="00E500C8" w:rsidP="00AF45BA">
      <w:pPr>
        <w:pStyle w:val="ListParagraph"/>
        <w:numPr>
          <w:ilvl w:val="0"/>
          <w:numId w:val="4"/>
        </w:numPr>
        <w:spacing w:after="0" w:line="240" w:lineRule="auto"/>
        <w:ind w:hanging="294"/>
        <w:jc w:val="both"/>
        <w:rPr>
          <w:rFonts w:ascii="Garamond" w:hAnsi="Garamond"/>
        </w:rPr>
      </w:pPr>
      <w:r w:rsidRPr="00790822">
        <w:rPr>
          <w:rFonts w:ascii="Garamond" w:hAnsi="Garamond"/>
        </w:rPr>
        <w:t>Encourage inter-operability between priva</w:t>
      </w:r>
      <w:r w:rsidR="004F4809">
        <w:rPr>
          <w:rFonts w:ascii="Garamond" w:hAnsi="Garamond"/>
        </w:rPr>
        <w:t>cy</w:t>
      </w:r>
      <w:r w:rsidRPr="00790822">
        <w:rPr>
          <w:rFonts w:ascii="Garamond" w:hAnsi="Garamond"/>
        </w:rPr>
        <w:t xml:space="preserve"> regimes in order to enable </w:t>
      </w:r>
      <w:r w:rsidR="00DC0729" w:rsidRPr="00790822">
        <w:rPr>
          <w:rFonts w:ascii="Garamond" w:hAnsi="Garamond"/>
        </w:rPr>
        <w:t>secure sharing of hea</w:t>
      </w:r>
      <w:r w:rsidR="004B55F9">
        <w:rPr>
          <w:rFonts w:ascii="Garamond" w:hAnsi="Garamond"/>
        </w:rPr>
        <w:t>l</w:t>
      </w:r>
      <w:r w:rsidR="00DC0729" w:rsidRPr="00790822">
        <w:rPr>
          <w:rFonts w:ascii="Garamond" w:hAnsi="Garamond"/>
        </w:rPr>
        <w:t xml:space="preserve">th data, vaccine trials or data from contact tracing </w:t>
      </w:r>
      <w:r w:rsidR="004B55F9">
        <w:rPr>
          <w:rFonts w:ascii="Garamond" w:hAnsi="Garamond"/>
        </w:rPr>
        <w:t>apps</w:t>
      </w:r>
      <w:r w:rsidR="00D50363">
        <w:rPr>
          <w:rFonts w:ascii="Garamond" w:hAnsi="Garamond"/>
        </w:rPr>
        <w:t xml:space="preserve"> </w:t>
      </w:r>
      <w:r w:rsidR="00EB0E9D">
        <w:rPr>
          <w:rFonts w:ascii="Garamond" w:hAnsi="Garamond"/>
        </w:rPr>
        <w:t xml:space="preserve">as appropriate, </w:t>
      </w:r>
      <w:r w:rsidR="00957411" w:rsidRPr="00D50363">
        <w:rPr>
          <w:rFonts w:ascii="Garamond" w:eastAsia="Times New Roman" w:hAnsi="Garamond"/>
        </w:rPr>
        <w:t>and including in relation to digital fencing for quarantine monitoring</w:t>
      </w:r>
      <w:r w:rsidR="00974EF9" w:rsidRPr="00D50363">
        <w:rPr>
          <w:rFonts w:ascii="Garamond" w:eastAsia="Times New Roman" w:hAnsi="Garamond"/>
        </w:rPr>
        <w:t>.</w:t>
      </w:r>
    </w:p>
    <w:p w14:paraId="440AF1B8" w14:textId="63B57182" w:rsidR="00D50363" w:rsidRDefault="00D50363" w:rsidP="00D50363">
      <w:pPr>
        <w:spacing w:after="0" w:line="240" w:lineRule="auto"/>
        <w:jc w:val="both"/>
        <w:rPr>
          <w:rFonts w:ascii="Garamond" w:hAnsi="Garamond"/>
        </w:rPr>
      </w:pPr>
    </w:p>
    <w:p w14:paraId="42D071E0" w14:textId="77777777" w:rsidR="00D50363" w:rsidRPr="00D50363" w:rsidRDefault="00D50363" w:rsidP="00D50363">
      <w:pPr>
        <w:spacing w:after="0" w:line="240" w:lineRule="auto"/>
        <w:jc w:val="both"/>
        <w:rPr>
          <w:rFonts w:ascii="Garamond" w:hAnsi="Garamond"/>
        </w:rPr>
      </w:pPr>
    </w:p>
    <w:p w14:paraId="6ED57D2B" w14:textId="1BDA8C25" w:rsidR="000D34E2" w:rsidRPr="00790822" w:rsidRDefault="000D34E2" w:rsidP="000D34E2">
      <w:pPr>
        <w:spacing w:after="0" w:line="240" w:lineRule="auto"/>
        <w:contextualSpacing/>
        <w:jc w:val="both"/>
        <w:rPr>
          <w:rFonts w:ascii="Garamond" w:hAnsi="Garamond"/>
          <w:b/>
          <w:iCs/>
          <w:color w:val="000000" w:themeColor="text1"/>
        </w:rPr>
      </w:pPr>
      <w:r w:rsidRPr="00790822">
        <w:rPr>
          <w:rFonts w:ascii="Garamond" w:hAnsi="Garamond"/>
          <w:b/>
          <w:bCs/>
        </w:rPr>
        <w:t xml:space="preserve">Part 2: </w:t>
      </w:r>
      <w:r w:rsidR="00261A84" w:rsidRPr="00790822">
        <w:rPr>
          <w:rFonts w:ascii="Garamond" w:hAnsi="Garamond"/>
          <w:b/>
          <w:bCs/>
        </w:rPr>
        <w:t>Laying the Groundwork for Economic Recovery and Building Resilience</w:t>
      </w:r>
    </w:p>
    <w:p w14:paraId="7E07D6DE" w14:textId="6751A8A3" w:rsidR="00D478F6" w:rsidRDefault="000D34E2" w:rsidP="000D34E2">
      <w:pPr>
        <w:spacing w:after="0" w:line="240" w:lineRule="auto"/>
        <w:contextualSpacing/>
        <w:jc w:val="both"/>
        <w:rPr>
          <w:rFonts w:ascii="Garamond" w:hAnsi="Garamond"/>
          <w:lang w:val="en-US"/>
        </w:rPr>
      </w:pPr>
      <w:r w:rsidRPr="00790822">
        <w:rPr>
          <w:rFonts w:ascii="Garamond" w:hAnsi="Garamond"/>
          <w:lang w:val="en-US"/>
        </w:rPr>
        <w:t xml:space="preserve">As economies move through the immediate aftermath of the first wave of the pandemic, it is clear that policymakers will need to turn their attention to laying the groundwork for economic recovery, including building resilience for the future.  </w:t>
      </w:r>
      <w:r w:rsidR="00820E4F">
        <w:rPr>
          <w:rFonts w:ascii="Garamond" w:hAnsi="Garamond"/>
          <w:lang w:val="en-US"/>
        </w:rPr>
        <w:t>Markets will need to remain open for goods, services and investments</w:t>
      </w:r>
      <w:r w:rsidR="006074B7">
        <w:rPr>
          <w:rFonts w:ascii="Garamond" w:hAnsi="Garamond"/>
          <w:lang w:val="en-US"/>
        </w:rPr>
        <w:t xml:space="preserve">; </w:t>
      </w:r>
      <w:r w:rsidR="00C2332A">
        <w:rPr>
          <w:rFonts w:ascii="Garamond" w:hAnsi="Garamond"/>
          <w:lang w:val="en-US"/>
        </w:rPr>
        <w:t>supply chains will need to be made resilient to disruptions</w:t>
      </w:r>
      <w:r w:rsidR="006074B7">
        <w:rPr>
          <w:rFonts w:ascii="Garamond" w:hAnsi="Garamond"/>
          <w:lang w:val="en-US"/>
        </w:rPr>
        <w:t xml:space="preserve">; </w:t>
      </w:r>
      <w:r w:rsidR="00C352DE">
        <w:rPr>
          <w:rFonts w:ascii="Garamond" w:hAnsi="Garamond"/>
          <w:lang w:val="en-US"/>
        </w:rPr>
        <w:t xml:space="preserve">MSMEs will need to be readied for the </w:t>
      </w:r>
      <w:r w:rsidR="00A07806">
        <w:rPr>
          <w:rFonts w:ascii="Garamond" w:hAnsi="Garamond"/>
          <w:lang w:val="en-US"/>
        </w:rPr>
        <w:t>“</w:t>
      </w:r>
      <w:r w:rsidR="00C352DE">
        <w:rPr>
          <w:rFonts w:ascii="Garamond" w:hAnsi="Garamond"/>
          <w:lang w:val="en-US"/>
        </w:rPr>
        <w:t>contactless</w:t>
      </w:r>
      <w:r w:rsidR="00A07806">
        <w:rPr>
          <w:rFonts w:ascii="Garamond" w:hAnsi="Garamond"/>
          <w:lang w:val="en-US"/>
        </w:rPr>
        <w:t xml:space="preserve"> and cashless”</w:t>
      </w:r>
      <w:r w:rsidR="00C352DE">
        <w:rPr>
          <w:rFonts w:ascii="Garamond" w:hAnsi="Garamond"/>
          <w:lang w:val="en-US"/>
        </w:rPr>
        <w:t xml:space="preserve"> economy</w:t>
      </w:r>
      <w:r w:rsidR="00F14827">
        <w:rPr>
          <w:rFonts w:ascii="Garamond" w:hAnsi="Garamond"/>
          <w:lang w:val="en-US"/>
        </w:rPr>
        <w:t>;</w:t>
      </w:r>
      <w:r w:rsidR="00A07806">
        <w:rPr>
          <w:rFonts w:ascii="Garamond" w:hAnsi="Garamond"/>
          <w:lang w:val="en-US"/>
        </w:rPr>
        <w:t xml:space="preserve"> and digital connectivity </w:t>
      </w:r>
      <w:r w:rsidR="00B8554D">
        <w:rPr>
          <w:rFonts w:ascii="Garamond" w:hAnsi="Garamond"/>
          <w:lang w:val="en-US"/>
        </w:rPr>
        <w:t>will need to be strengthened to ensure that</w:t>
      </w:r>
      <w:r w:rsidR="006074B7">
        <w:rPr>
          <w:rFonts w:ascii="Garamond" w:hAnsi="Garamond"/>
          <w:lang w:val="en-US"/>
        </w:rPr>
        <w:t xml:space="preserve"> </w:t>
      </w:r>
      <w:r w:rsidR="00DE66AF">
        <w:rPr>
          <w:rFonts w:ascii="Garamond" w:hAnsi="Garamond"/>
          <w:lang w:val="en-US"/>
        </w:rPr>
        <w:t xml:space="preserve">it is affordable and reliable as more </w:t>
      </w:r>
      <w:r w:rsidR="00CD5FEC">
        <w:rPr>
          <w:rFonts w:ascii="Garamond" w:hAnsi="Garamond"/>
          <w:lang w:val="en-US"/>
        </w:rPr>
        <w:t xml:space="preserve">and more of our daily </w:t>
      </w:r>
      <w:r w:rsidR="00DE66AF">
        <w:rPr>
          <w:rFonts w:ascii="Garamond" w:hAnsi="Garamond"/>
          <w:lang w:val="en-US"/>
        </w:rPr>
        <w:t xml:space="preserve">activities </w:t>
      </w:r>
      <w:r w:rsidR="00CD5FEC">
        <w:rPr>
          <w:rFonts w:ascii="Garamond" w:hAnsi="Garamond"/>
          <w:lang w:val="en-US"/>
        </w:rPr>
        <w:t>take place online.</w:t>
      </w:r>
      <w:r w:rsidR="00CB7023">
        <w:rPr>
          <w:rFonts w:ascii="Garamond" w:hAnsi="Garamond"/>
          <w:lang w:val="en-US"/>
        </w:rPr>
        <w:t xml:space="preserve">  </w:t>
      </w:r>
    </w:p>
    <w:p w14:paraId="47C9E933" w14:textId="4EEE026C" w:rsidR="00484B55" w:rsidRDefault="00484B55" w:rsidP="000D34E2">
      <w:pPr>
        <w:spacing w:after="0" w:line="240" w:lineRule="auto"/>
        <w:contextualSpacing/>
        <w:jc w:val="both"/>
        <w:rPr>
          <w:rFonts w:ascii="Garamond" w:hAnsi="Garamond"/>
          <w:lang w:val="en-US"/>
        </w:rPr>
      </w:pPr>
    </w:p>
    <w:p w14:paraId="1BDFCC24" w14:textId="3D6DA0A4" w:rsidR="00EB0E9D" w:rsidRDefault="00EB0E9D" w:rsidP="000D34E2">
      <w:pPr>
        <w:spacing w:after="0" w:line="240" w:lineRule="auto"/>
        <w:contextualSpacing/>
        <w:jc w:val="both"/>
        <w:rPr>
          <w:rFonts w:ascii="Garamond" w:hAnsi="Garamond"/>
          <w:lang w:val="en-US"/>
        </w:rPr>
      </w:pPr>
      <w:r>
        <w:rPr>
          <w:rFonts w:ascii="Garamond" w:hAnsi="Garamond"/>
          <w:lang w:val="en-US"/>
        </w:rPr>
        <w:t>History has shown that keeping markets open helps minimize the prolonged impact of global crises.  In this regard, we should support the central role of trade in economic recovery by agreeing to refrain from imposing new trade and investment barriers, and supporting the WTO.</w:t>
      </w:r>
    </w:p>
    <w:p w14:paraId="31B87C43" w14:textId="77777777" w:rsidR="00EB0E9D" w:rsidRDefault="00EB0E9D" w:rsidP="000D34E2">
      <w:pPr>
        <w:spacing w:after="0" w:line="240" w:lineRule="auto"/>
        <w:contextualSpacing/>
        <w:jc w:val="both"/>
        <w:rPr>
          <w:rFonts w:ascii="Garamond" w:hAnsi="Garamond"/>
          <w:lang w:val="en-US"/>
        </w:rPr>
      </w:pPr>
    </w:p>
    <w:p w14:paraId="6F13CFD2" w14:textId="111787AD" w:rsidR="005635E8" w:rsidRDefault="00006304" w:rsidP="00790BE9">
      <w:pPr>
        <w:spacing w:after="0" w:line="240" w:lineRule="auto"/>
        <w:jc w:val="both"/>
        <w:rPr>
          <w:rFonts w:ascii="Garamond" w:eastAsia="Calibri" w:hAnsi="Garamond"/>
          <w:iCs/>
          <w:color w:val="000000" w:themeColor="text1"/>
          <w:lang w:eastAsia="zh-CN"/>
        </w:rPr>
      </w:pPr>
      <w:r>
        <w:rPr>
          <w:rFonts w:ascii="Garamond" w:hAnsi="Garamond"/>
          <w:lang w:val="en-US"/>
        </w:rPr>
        <w:t xml:space="preserve">We </w:t>
      </w:r>
      <w:r w:rsidR="0044635B">
        <w:rPr>
          <w:rFonts w:ascii="Garamond" w:hAnsi="Garamond"/>
          <w:lang w:val="en-US"/>
        </w:rPr>
        <w:t xml:space="preserve">highlight </w:t>
      </w:r>
      <w:r>
        <w:rPr>
          <w:rFonts w:ascii="Garamond" w:hAnsi="Garamond"/>
          <w:lang w:val="en-US"/>
        </w:rPr>
        <w:t>t</w:t>
      </w:r>
      <w:r w:rsidR="00CB7023">
        <w:rPr>
          <w:rFonts w:ascii="Garamond" w:hAnsi="Garamond"/>
          <w:lang w:val="en-US"/>
        </w:rPr>
        <w:t>hree</w:t>
      </w:r>
      <w:r>
        <w:rPr>
          <w:rFonts w:ascii="Garamond" w:hAnsi="Garamond"/>
          <w:lang w:val="en-US"/>
        </w:rPr>
        <w:t xml:space="preserve"> </w:t>
      </w:r>
      <w:r w:rsidR="00EE2B10">
        <w:rPr>
          <w:rFonts w:ascii="Garamond" w:hAnsi="Garamond"/>
          <w:lang w:val="en-US"/>
        </w:rPr>
        <w:t>recommendations</w:t>
      </w:r>
      <w:r>
        <w:rPr>
          <w:rFonts w:ascii="Garamond" w:hAnsi="Garamond"/>
          <w:lang w:val="en-US"/>
        </w:rPr>
        <w:t xml:space="preserve"> </w:t>
      </w:r>
      <w:r w:rsidR="00D15EA9">
        <w:rPr>
          <w:rFonts w:ascii="Garamond" w:hAnsi="Garamond"/>
          <w:lang w:val="en-US"/>
        </w:rPr>
        <w:t>which demonstrate the</w:t>
      </w:r>
      <w:r w:rsidR="00790BE9">
        <w:rPr>
          <w:rFonts w:ascii="Garamond" w:hAnsi="Garamond"/>
          <w:lang w:val="en-US"/>
        </w:rPr>
        <w:t xml:space="preserve"> </w:t>
      </w:r>
      <w:proofErr w:type="spellStart"/>
      <w:r w:rsidR="00D15EA9">
        <w:rPr>
          <w:rFonts w:ascii="Garamond" w:hAnsi="Garamond"/>
          <w:lang w:val="en-US"/>
        </w:rPr>
        <w:t>impor</w:t>
      </w:r>
      <w:r w:rsidR="00076132">
        <w:rPr>
          <w:rFonts w:ascii="Garamond" w:hAnsi="Garamond"/>
        </w:rPr>
        <w:t>tance</w:t>
      </w:r>
      <w:proofErr w:type="spellEnd"/>
      <w:r w:rsidR="0071313D">
        <w:rPr>
          <w:rFonts w:ascii="Garamond" w:hAnsi="Garamond"/>
        </w:rPr>
        <w:t xml:space="preserve"> </w:t>
      </w:r>
      <w:r w:rsidR="0069257E">
        <w:rPr>
          <w:rFonts w:ascii="Garamond" w:hAnsi="Garamond"/>
        </w:rPr>
        <w:t xml:space="preserve">of </w:t>
      </w:r>
      <w:r w:rsidR="00093CF0" w:rsidRPr="00790822">
        <w:rPr>
          <w:rFonts w:ascii="Garamond" w:hAnsi="Garamond"/>
        </w:rPr>
        <w:t>work</w:t>
      </w:r>
      <w:r w:rsidR="0069257E">
        <w:rPr>
          <w:rFonts w:ascii="Garamond" w:hAnsi="Garamond"/>
        </w:rPr>
        <w:t>ing together</w:t>
      </w:r>
      <w:r w:rsidR="00093CF0" w:rsidRPr="00790822">
        <w:rPr>
          <w:rFonts w:ascii="Garamond" w:hAnsi="Garamond"/>
        </w:rPr>
        <w:t xml:space="preserve"> in a coordinated</w:t>
      </w:r>
      <w:r w:rsidR="00081817">
        <w:rPr>
          <w:rFonts w:ascii="Garamond" w:hAnsi="Garamond"/>
        </w:rPr>
        <w:t xml:space="preserve"> way</w:t>
      </w:r>
      <w:r w:rsidR="00093CF0" w:rsidRPr="00790822">
        <w:rPr>
          <w:rFonts w:ascii="Garamond" w:hAnsi="Garamond"/>
        </w:rPr>
        <w:t>, and over a long period as the challenges of the pandemic will continue for many years in</w:t>
      </w:r>
      <w:r w:rsidR="00081817">
        <w:rPr>
          <w:rFonts w:ascii="Garamond" w:hAnsi="Garamond"/>
        </w:rPr>
        <w:t>to</w:t>
      </w:r>
      <w:r w:rsidR="00093CF0" w:rsidRPr="00790822">
        <w:rPr>
          <w:rFonts w:ascii="Garamond" w:hAnsi="Garamond"/>
        </w:rPr>
        <w:t xml:space="preserve"> the future.</w:t>
      </w:r>
      <w:r w:rsidR="00093CF0" w:rsidRPr="00790822">
        <w:rPr>
          <w:rFonts w:ascii="Garamond" w:eastAsia="Calibri" w:hAnsi="Garamond"/>
          <w:iCs/>
          <w:color w:val="000000" w:themeColor="text1"/>
          <w:lang w:eastAsia="zh-CN"/>
        </w:rPr>
        <w:t xml:space="preserve"> </w:t>
      </w:r>
    </w:p>
    <w:p w14:paraId="61359A0B" w14:textId="77777777" w:rsidR="008C3B88" w:rsidRDefault="008C3B88" w:rsidP="008C3B88">
      <w:pPr>
        <w:spacing w:after="0" w:line="240" w:lineRule="auto"/>
        <w:jc w:val="both"/>
        <w:rPr>
          <w:rFonts w:ascii="Garamond" w:hAnsi="Garamond"/>
          <w:b/>
          <w:iCs/>
          <w:color w:val="000000" w:themeColor="text1"/>
        </w:rPr>
      </w:pPr>
    </w:p>
    <w:p w14:paraId="3B9700EA" w14:textId="4E79A9A5" w:rsidR="008C3B88" w:rsidRPr="008C3B88" w:rsidRDefault="008C3B88" w:rsidP="00AF45BA">
      <w:pPr>
        <w:pStyle w:val="ListParagraph"/>
        <w:numPr>
          <w:ilvl w:val="0"/>
          <w:numId w:val="16"/>
        </w:numPr>
        <w:spacing w:after="0" w:line="240" w:lineRule="auto"/>
        <w:ind w:left="426" w:hanging="426"/>
        <w:jc w:val="both"/>
        <w:rPr>
          <w:rFonts w:ascii="Garamond" w:eastAsia="Times New Roman" w:hAnsi="Garamond" w:cstheme="minorHAnsi"/>
          <w:color w:val="000000" w:themeColor="text1"/>
          <w:lang w:val="en-US" w:eastAsia="en-GB"/>
        </w:rPr>
      </w:pPr>
      <w:r w:rsidRPr="008C3B88">
        <w:rPr>
          <w:rFonts w:ascii="Garamond" w:hAnsi="Garamond"/>
          <w:b/>
          <w:iCs/>
          <w:color w:val="000000" w:themeColor="text1"/>
        </w:rPr>
        <w:t xml:space="preserve">Support the central role of trade </w:t>
      </w:r>
      <w:r w:rsidR="00EB0E9D">
        <w:rPr>
          <w:rFonts w:ascii="Garamond" w:hAnsi="Garamond"/>
          <w:b/>
          <w:iCs/>
          <w:color w:val="000000" w:themeColor="text1"/>
        </w:rPr>
        <w:t xml:space="preserve">and sustainability </w:t>
      </w:r>
      <w:r w:rsidRPr="008C3B88">
        <w:rPr>
          <w:rFonts w:ascii="Garamond" w:hAnsi="Garamond"/>
          <w:b/>
          <w:iCs/>
          <w:color w:val="000000" w:themeColor="text1"/>
        </w:rPr>
        <w:t>in economic recovery</w:t>
      </w:r>
    </w:p>
    <w:p w14:paraId="42F8C653" w14:textId="5D211945" w:rsidR="008C3B88" w:rsidRPr="0042053D" w:rsidRDefault="008C3B88" w:rsidP="00AF45BA">
      <w:pPr>
        <w:pStyle w:val="ListParagraph"/>
        <w:numPr>
          <w:ilvl w:val="0"/>
          <w:numId w:val="8"/>
        </w:numPr>
        <w:spacing w:after="0" w:line="240" w:lineRule="auto"/>
        <w:ind w:left="851" w:hanging="425"/>
        <w:jc w:val="both"/>
        <w:rPr>
          <w:rFonts w:ascii="Garamond" w:eastAsia="Times New Roman" w:hAnsi="Garamond" w:cstheme="minorHAnsi"/>
          <w:color w:val="000000" w:themeColor="text1"/>
          <w:lang w:val="en-US" w:eastAsia="en-GB"/>
        </w:rPr>
      </w:pPr>
      <w:r w:rsidRPr="0042053D">
        <w:rPr>
          <w:rFonts w:ascii="Garamond" w:hAnsi="Garamond"/>
          <w:bCs/>
          <w:iCs/>
          <w:color w:val="000000" w:themeColor="text1"/>
        </w:rPr>
        <w:t xml:space="preserve">Refrain </w:t>
      </w:r>
      <w:r w:rsidR="00EB0E9D" w:rsidRPr="0042053D">
        <w:rPr>
          <w:rFonts w:ascii="Garamond" w:hAnsi="Garamond"/>
          <w:bCs/>
          <w:iCs/>
          <w:color w:val="000000" w:themeColor="text1"/>
        </w:rPr>
        <w:t xml:space="preserve">from </w:t>
      </w:r>
      <w:r w:rsidRPr="0042053D">
        <w:rPr>
          <w:rFonts w:ascii="Garamond" w:hAnsi="Garamond"/>
          <w:bCs/>
          <w:iCs/>
          <w:color w:val="000000" w:themeColor="text1"/>
        </w:rPr>
        <w:t xml:space="preserve">imposing new </w:t>
      </w:r>
      <w:r w:rsidR="00EB0E9D" w:rsidRPr="0042053D">
        <w:rPr>
          <w:rFonts w:ascii="Garamond" w:hAnsi="Garamond"/>
          <w:bCs/>
          <w:iCs/>
          <w:color w:val="000000" w:themeColor="text1"/>
        </w:rPr>
        <w:t xml:space="preserve">barriers to </w:t>
      </w:r>
      <w:r w:rsidRPr="0042053D">
        <w:rPr>
          <w:rFonts w:ascii="Garamond" w:hAnsi="Garamond"/>
          <w:bCs/>
          <w:iCs/>
          <w:color w:val="000000" w:themeColor="text1"/>
        </w:rPr>
        <w:t>trade</w:t>
      </w:r>
      <w:r w:rsidR="00EB0E9D" w:rsidRPr="0042053D">
        <w:rPr>
          <w:rFonts w:ascii="Garamond" w:hAnsi="Garamond"/>
          <w:bCs/>
          <w:iCs/>
          <w:color w:val="000000" w:themeColor="text1"/>
        </w:rPr>
        <w:t xml:space="preserve"> in goods, services</w:t>
      </w:r>
      <w:r w:rsidRPr="0042053D">
        <w:rPr>
          <w:rFonts w:ascii="Garamond" w:hAnsi="Garamond"/>
          <w:bCs/>
          <w:iCs/>
          <w:color w:val="000000" w:themeColor="text1"/>
        </w:rPr>
        <w:t xml:space="preserve"> and investment.</w:t>
      </w:r>
    </w:p>
    <w:p w14:paraId="719B1064" w14:textId="3738DB79" w:rsidR="008C3B88" w:rsidRPr="0042053D" w:rsidRDefault="008C3B88" w:rsidP="00AF45BA">
      <w:pPr>
        <w:pStyle w:val="ListParagraph"/>
        <w:numPr>
          <w:ilvl w:val="0"/>
          <w:numId w:val="8"/>
        </w:numPr>
        <w:spacing w:after="0" w:line="240" w:lineRule="auto"/>
        <w:ind w:left="851" w:hanging="425"/>
        <w:jc w:val="both"/>
        <w:rPr>
          <w:rFonts w:ascii="Garamond" w:eastAsia="Times New Roman" w:hAnsi="Garamond" w:cstheme="minorHAnsi"/>
          <w:color w:val="000000" w:themeColor="text1"/>
          <w:lang w:val="en-US" w:eastAsia="en-GB"/>
        </w:rPr>
      </w:pPr>
      <w:bookmarkStart w:id="2" w:name="_Hlk43896924"/>
      <w:r w:rsidRPr="0042053D">
        <w:rPr>
          <w:rFonts w:ascii="Garamond" w:hAnsi="Garamond"/>
          <w:bCs/>
          <w:iCs/>
          <w:color w:val="000000" w:themeColor="text1"/>
        </w:rPr>
        <w:t xml:space="preserve">Support the WTO by </w:t>
      </w:r>
      <w:r w:rsidR="00525F85" w:rsidRPr="0042053D">
        <w:rPr>
          <w:rFonts w:ascii="Garamond" w:hAnsi="Garamond"/>
          <w:bCs/>
          <w:iCs/>
          <w:color w:val="000000" w:themeColor="text1"/>
        </w:rPr>
        <w:t xml:space="preserve">maintaining its core value and principles and </w:t>
      </w:r>
      <w:r w:rsidRPr="0042053D">
        <w:rPr>
          <w:rFonts w:ascii="Garamond" w:hAnsi="Garamond"/>
          <w:bCs/>
          <w:iCs/>
          <w:color w:val="000000" w:themeColor="text1"/>
        </w:rPr>
        <w:t xml:space="preserve">making it fit-for-purpose through </w:t>
      </w:r>
      <w:r w:rsidR="001F506A" w:rsidRPr="0042053D">
        <w:rPr>
          <w:rFonts w:ascii="Garamond" w:hAnsi="Garamond"/>
          <w:bCs/>
          <w:iCs/>
          <w:color w:val="000000" w:themeColor="text1"/>
        </w:rPr>
        <w:t>improvement</w:t>
      </w:r>
      <w:r w:rsidRPr="0042053D">
        <w:rPr>
          <w:rFonts w:ascii="Garamond" w:hAnsi="Garamond"/>
          <w:bCs/>
          <w:iCs/>
          <w:color w:val="000000" w:themeColor="text1"/>
        </w:rPr>
        <w:t xml:space="preserve"> of </w:t>
      </w:r>
      <w:r w:rsidR="00525F85" w:rsidRPr="0042053D">
        <w:rPr>
          <w:rFonts w:ascii="Garamond" w:hAnsi="Garamond"/>
          <w:bCs/>
          <w:iCs/>
          <w:color w:val="000000" w:themeColor="text1"/>
        </w:rPr>
        <w:t xml:space="preserve">its functioning, </w:t>
      </w:r>
      <w:r w:rsidRPr="0042053D">
        <w:rPr>
          <w:rFonts w:ascii="Garamond" w:hAnsi="Garamond"/>
          <w:bCs/>
          <w:iCs/>
          <w:color w:val="000000" w:themeColor="text1"/>
        </w:rPr>
        <w:t>rules, commitments and operation.</w:t>
      </w:r>
    </w:p>
    <w:p w14:paraId="15BBC349" w14:textId="0CDED3EC" w:rsidR="00EB0E9D" w:rsidRPr="0042053D" w:rsidRDefault="00EB0E9D" w:rsidP="00AF45BA">
      <w:pPr>
        <w:pStyle w:val="ListParagraph"/>
        <w:numPr>
          <w:ilvl w:val="0"/>
          <w:numId w:val="8"/>
        </w:numPr>
        <w:spacing w:after="0" w:line="240" w:lineRule="auto"/>
        <w:ind w:left="851" w:hanging="425"/>
        <w:jc w:val="both"/>
        <w:rPr>
          <w:rFonts w:ascii="Garamond" w:eastAsia="Times New Roman" w:hAnsi="Garamond" w:cstheme="minorHAnsi"/>
          <w:color w:val="000000" w:themeColor="text1"/>
          <w:lang w:val="en-US" w:eastAsia="en-GB"/>
        </w:rPr>
      </w:pPr>
      <w:r w:rsidRPr="0042053D">
        <w:rPr>
          <w:rFonts w:ascii="Garamond" w:hAnsi="Garamond"/>
          <w:bCs/>
          <w:iCs/>
          <w:color w:val="000000" w:themeColor="text1"/>
        </w:rPr>
        <w:t>Urgently work to achieve more inclusive and sustainable low-carbon businesses and economies.</w:t>
      </w:r>
    </w:p>
    <w:bookmarkEnd w:id="2"/>
    <w:p w14:paraId="62813457" w14:textId="77777777" w:rsidR="00790BE9" w:rsidRPr="00790BE9" w:rsidRDefault="00790BE9" w:rsidP="00790BE9">
      <w:pPr>
        <w:spacing w:after="0" w:line="240" w:lineRule="auto"/>
        <w:jc w:val="both"/>
        <w:rPr>
          <w:rFonts w:ascii="Garamond" w:eastAsia="Calibri" w:hAnsi="Garamond"/>
          <w:iCs/>
          <w:color w:val="000000" w:themeColor="text1"/>
          <w:lang w:eastAsia="zh-CN"/>
        </w:rPr>
      </w:pPr>
    </w:p>
    <w:p w14:paraId="5280A2D6" w14:textId="14F543E8" w:rsidR="00790BE9" w:rsidRPr="00AF45BA" w:rsidRDefault="00EE2B10" w:rsidP="00AF45BA">
      <w:pPr>
        <w:pStyle w:val="ListParagraph"/>
        <w:numPr>
          <w:ilvl w:val="0"/>
          <w:numId w:val="16"/>
        </w:numPr>
        <w:spacing w:after="0" w:line="240" w:lineRule="auto"/>
        <w:ind w:left="426" w:hanging="426"/>
        <w:jc w:val="both"/>
        <w:rPr>
          <w:rFonts w:ascii="Garamond" w:eastAsia="Times New Roman" w:hAnsi="Garamond"/>
          <w:b/>
          <w:bCs/>
          <w:lang w:val="en-US"/>
        </w:rPr>
      </w:pPr>
      <w:r w:rsidRPr="00AF45BA">
        <w:rPr>
          <w:rFonts w:ascii="Garamond" w:eastAsia="Calibri" w:hAnsi="Garamond"/>
          <w:b/>
          <w:bCs/>
          <w:iCs/>
          <w:lang w:val="en-US" w:eastAsia="zh-CN"/>
        </w:rPr>
        <w:t>Work collaboratively to plan for re-opening of borders</w:t>
      </w:r>
    </w:p>
    <w:p w14:paraId="23920F66" w14:textId="2BE55C25" w:rsidR="00790BE9" w:rsidRPr="00146AA7" w:rsidRDefault="00E03A22" w:rsidP="00AF45BA">
      <w:pPr>
        <w:pStyle w:val="ListParagraph"/>
        <w:numPr>
          <w:ilvl w:val="0"/>
          <w:numId w:val="7"/>
        </w:numPr>
        <w:spacing w:after="0" w:line="240" w:lineRule="auto"/>
        <w:ind w:left="851" w:hanging="425"/>
        <w:jc w:val="both"/>
        <w:rPr>
          <w:rFonts w:ascii="Garamond" w:hAnsi="Garamond"/>
          <w:bCs/>
          <w:iCs/>
          <w:color w:val="000000" w:themeColor="text1"/>
          <w:lang w:val="en-US"/>
        </w:rPr>
      </w:pPr>
      <w:r>
        <w:rPr>
          <w:rFonts w:ascii="Garamond" w:hAnsi="Garamond"/>
          <w:bCs/>
          <w:iCs/>
          <w:color w:val="000000" w:themeColor="text1"/>
          <w:lang w:val="en-US"/>
        </w:rPr>
        <w:t>E</w:t>
      </w:r>
      <w:r w:rsidR="00790BE9" w:rsidRPr="00D04A5B">
        <w:rPr>
          <w:rFonts w:ascii="Garamond" w:hAnsi="Garamond"/>
          <w:bCs/>
          <w:iCs/>
          <w:color w:val="000000" w:themeColor="text1"/>
          <w:lang w:val="en-US"/>
        </w:rPr>
        <w:t>stablish a</w:t>
      </w:r>
      <w:r w:rsidR="007769AE">
        <w:rPr>
          <w:rFonts w:ascii="Garamond" w:hAnsi="Garamond"/>
          <w:bCs/>
          <w:iCs/>
          <w:color w:val="000000" w:themeColor="text1"/>
          <w:lang w:val="en-US"/>
        </w:rPr>
        <w:t xml:space="preserve"> temporary</w:t>
      </w:r>
      <w:r w:rsidR="00790BE9" w:rsidRPr="00D04A5B">
        <w:rPr>
          <w:rFonts w:ascii="Garamond" w:hAnsi="Garamond"/>
          <w:bCs/>
          <w:iCs/>
          <w:color w:val="000000" w:themeColor="text1"/>
          <w:lang w:val="en-US"/>
        </w:rPr>
        <w:t xml:space="preserve"> APEC coordination body</w:t>
      </w:r>
      <w:r w:rsidR="000D3860">
        <w:rPr>
          <w:rFonts w:ascii="Garamond" w:hAnsi="Garamond"/>
          <w:bCs/>
          <w:iCs/>
          <w:color w:val="000000" w:themeColor="text1"/>
          <w:lang w:val="en-US"/>
        </w:rPr>
        <w:t xml:space="preserve"> </w:t>
      </w:r>
      <w:r>
        <w:rPr>
          <w:rFonts w:ascii="Garamond" w:hAnsi="Garamond"/>
          <w:bCs/>
          <w:iCs/>
          <w:color w:val="000000" w:themeColor="text1"/>
          <w:lang w:val="en-US"/>
        </w:rPr>
        <w:t xml:space="preserve">as soon as possible </w:t>
      </w:r>
      <w:r w:rsidR="00790BE9" w:rsidRPr="00D04A5B">
        <w:rPr>
          <w:rFonts w:ascii="Garamond" w:hAnsi="Garamond"/>
          <w:bCs/>
          <w:iCs/>
          <w:color w:val="000000" w:themeColor="text1"/>
          <w:lang w:val="en-US"/>
        </w:rPr>
        <w:t xml:space="preserve">to </w:t>
      </w:r>
      <w:r w:rsidR="00790BE9" w:rsidRPr="00D04A5B">
        <w:rPr>
          <w:rFonts w:ascii="Garamond" w:hAnsi="Garamond"/>
          <w:bCs/>
          <w:iCs/>
          <w:color w:val="000000" w:themeColor="text1"/>
        </w:rPr>
        <w:t xml:space="preserve">provide guidance for the orderly re-opening of borders and </w:t>
      </w:r>
      <w:r w:rsidR="007769AE">
        <w:rPr>
          <w:rFonts w:ascii="Garamond" w:hAnsi="Garamond"/>
          <w:bCs/>
          <w:iCs/>
          <w:color w:val="000000" w:themeColor="text1"/>
        </w:rPr>
        <w:t xml:space="preserve">development of </w:t>
      </w:r>
      <w:r w:rsidR="00790BE9" w:rsidRPr="00D04A5B">
        <w:rPr>
          <w:rFonts w:ascii="Garamond" w:hAnsi="Garamond"/>
          <w:bCs/>
          <w:iCs/>
          <w:color w:val="000000" w:themeColor="text1"/>
        </w:rPr>
        <w:t xml:space="preserve">quarantine </w:t>
      </w:r>
      <w:r w:rsidR="00A73C79">
        <w:rPr>
          <w:rFonts w:ascii="Garamond" w:hAnsi="Garamond"/>
          <w:bCs/>
          <w:iCs/>
          <w:color w:val="000000" w:themeColor="text1"/>
        </w:rPr>
        <w:t>protocols</w:t>
      </w:r>
      <w:r w:rsidR="00790BE9" w:rsidRPr="00D04A5B">
        <w:rPr>
          <w:rFonts w:ascii="Garamond" w:hAnsi="Garamond"/>
          <w:bCs/>
          <w:iCs/>
          <w:color w:val="000000" w:themeColor="text1"/>
        </w:rPr>
        <w:t>.</w:t>
      </w:r>
      <w:r w:rsidR="00790BE9" w:rsidRPr="00D04A5B">
        <w:rPr>
          <w:rFonts w:ascii="Garamond" w:hAnsi="Garamond"/>
          <w:bCs/>
          <w:iCs/>
          <w:color w:val="000000" w:themeColor="text1"/>
          <w:lang w:val="en-US"/>
        </w:rPr>
        <w:t xml:space="preserve">  This body would</w:t>
      </w:r>
      <w:r w:rsidR="00790BE9" w:rsidRPr="00D04A5B">
        <w:rPr>
          <w:rFonts w:ascii="Garamond" w:hAnsi="Garamond"/>
          <w:bCs/>
          <w:color w:val="000000" w:themeColor="text1"/>
          <w:lang w:val="en-US"/>
        </w:rPr>
        <w:t xml:space="preserve"> collaborate, share information and evaluate available data against agreed criteria, that would enable all APEC economies to assess when and how to open borders and fully reconnect with other economies as safely as possible.</w:t>
      </w:r>
      <w:r w:rsidR="00013B05">
        <w:rPr>
          <w:rFonts w:ascii="Garamond" w:hAnsi="Garamond"/>
          <w:bCs/>
          <w:color w:val="000000" w:themeColor="text1"/>
          <w:lang w:val="en-US"/>
        </w:rPr>
        <w:t xml:space="preserve"> </w:t>
      </w:r>
    </w:p>
    <w:p w14:paraId="17E95441" w14:textId="1ADE47E9" w:rsidR="00146AA7" w:rsidRPr="00146AA7" w:rsidRDefault="00146AA7" w:rsidP="00AF45BA">
      <w:pPr>
        <w:pStyle w:val="ListParagraph"/>
        <w:numPr>
          <w:ilvl w:val="0"/>
          <w:numId w:val="7"/>
        </w:numPr>
        <w:spacing w:after="0" w:line="240" w:lineRule="auto"/>
        <w:ind w:left="851" w:hanging="425"/>
        <w:jc w:val="both"/>
        <w:rPr>
          <w:rFonts w:ascii="Garamond" w:eastAsia="Calibri" w:hAnsi="Garamond"/>
          <w:iCs/>
          <w:color w:val="000000" w:themeColor="text1"/>
          <w:lang w:val="en-US" w:eastAsia="zh-CN"/>
        </w:rPr>
      </w:pPr>
      <w:r w:rsidRPr="00146AA7">
        <w:rPr>
          <w:rFonts w:ascii="Garamond" w:eastAsia="Calibri" w:hAnsi="Garamond"/>
          <w:iCs/>
          <w:color w:val="000000" w:themeColor="text1"/>
          <w:lang w:val="en-US" w:eastAsia="zh-CN"/>
        </w:rPr>
        <w:t>In preparation for future crises, develop the PSU checklist for pandemic planning into a regional policy toolkit</w:t>
      </w:r>
      <w:r w:rsidR="00EE2B10">
        <w:rPr>
          <w:rFonts w:ascii="Garamond" w:eastAsia="Calibri" w:hAnsi="Garamond"/>
          <w:iCs/>
          <w:color w:val="000000" w:themeColor="text1"/>
          <w:lang w:val="en-US" w:eastAsia="zh-CN"/>
        </w:rPr>
        <w:t xml:space="preserve">, </w:t>
      </w:r>
      <w:r w:rsidRPr="00146AA7">
        <w:rPr>
          <w:rFonts w:ascii="Garamond" w:eastAsia="Calibri" w:hAnsi="Garamond"/>
          <w:iCs/>
          <w:color w:val="000000" w:themeColor="text1"/>
          <w:lang w:val="en-US" w:eastAsia="zh-CN"/>
        </w:rPr>
        <w:t xml:space="preserve">with business input. </w:t>
      </w:r>
    </w:p>
    <w:p w14:paraId="696C3AC6" w14:textId="7D9B7649" w:rsidR="00D04A5B" w:rsidRDefault="00D04A5B" w:rsidP="00D04A5B">
      <w:pPr>
        <w:pStyle w:val="ListParagraph"/>
        <w:spacing w:after="0" w:line="240" w:lineRule="auto"/>
        <w:jc w:val="both"/>
        <w:rPr>
          <w:rFonts w:ascii="Garamond" w:eastAsia="Calibri" w:hAnsi="Garamond"/>
          <w:b/>
          <w:bCs/>
          <w:iCs/>
          <w:color w:val="000000" w:themeColor="text1"/>
          <w:lang w:val="en-US" w:eastAsia="zh-CN"/>
        </w:rPr>
      </w:pPr>
    </w:p>
    <w:p w14:paraId="5015D6AA" w14:textId="70D9133E" w:rsidR="00152D1F" w:rsidRDefault="00152D1F" w:rsidP="00D04A5B">
      <w:pPr>
        <w:pStyle w:val="ListParagraph"/>
        <w:spacing w:after="0" w:line="240" w:lineRule="auto"/>
        <w:jc w:val="both"/>
        <w:rPr>
          <w:rFonts w:ascii="Garamond" w:eastAsia="Calibri" w:hAnsi="Garamond"/>
          <w:b/>
          <w:bCs/>
          <w:iCs/>
          <w:color w:val="000000" w:themeColor="text1"/>
          <w:lang w:val="en-US" w:eastAsia="zh-CN"/>
        </w:rPr>
      </w:pPr>
    </w:p>
    <w:p w14:paraId="52C42968" w14:textId="77777777" w:rsidR="00152D1F" w:rsidRDefault="00152D1F" w:rsidP="00D04A5B">
      <w:pPr>
        <w:pStyle w:val="ListParagraph"/>
        <w:spacing w:after="0" w:line="240" w:lineRule="auto"/>
        <w:jc w:val="both"/>
        <w:rPr>
          <w:rFonts w:ascii="Garamond" w:eastAsia="Calibri" w:hAnsi="Garamond"/>
          <w:b/>
          <w:bCs/>
          <w:iCs/>
          <w:color w:val="000000" w:themeColor="text1"/>
          <w:lang w:val="en-US" w:eastAsia="zh-CN"/>
        </w:rPr>
      </w:pPr>
    </w:p>
    <w:p w14:paraId="6B578F93" w14:textId="340C7AE0" w:rsidR="00D04A5B" w:rsidRPr="00DF33AB" w:rsidRDefault="00AF45BA" w:rsidP="00AF45BA">
      <w:pPr>
        <w:spacing w:after="0" w:line="240" w:lineRule="auto"/>
        <w:ind w:left="426" w:hanging="360"/>
        <w:jc w:val="both"/>
        <w:rPr>
          <w:rFonts w:ascii="Garamond" w:eastAsia="Calibri" w:hAnsi="Garamond"/>
          <w:b/>
          <w:bCs/>
          <w:iCs/>
          <w:color w:val="000000" w:themeColor="text1"/>
          <w:lang w:val="en-US" w:eastAsia="zh-CN"/>
        </w:rPr>
      </w:pPr>
      <w:r>
        <w:rPr>
          <w:rFonts w:ascii="Garamond" w:eastAsia="Calibri" w:hAnsi="Garamond"/>
          <w:b/>
          <w:bCs/>
          <w:iCs/>
          <w:color w:val="000000" w:themeColor="text1"/>
          <w:lang w:val="en-US" w:eastAsia="zh-CN"/>
        </w:rPr>
        <w:lastRenderedPageBreak/>
        <w:t>3</w:t>
      </w:r>
      <w:r w:rsidR="00DF33AB">
        <w:rPr>
          <w:rFonts w:ascii="Garamond" w:eastAsia="Calibri" w:hAnsi="Garamond"/>
          <w:b/>
          <w:bCs/>
          <w:iCs/>
          <w:color w:val="000000" w:themeColor="text1"/>
          <w:lang w:val="en-US" w:eastAsia="zh-CN"/>
        </w:rPr>
        <w:t>.</w:t>
      </w:r>
      <w:r w:rsidR="00DF33AB">
        <w:rPr>
          <w:rFonts w:ascii="Garamond" w:eastAsia="Calibri" w:hAnsi="Garamond"/>
          <w:b/>
          <w:bCs/>
          <w:iCs/>
          <w:color w:val="000000" w:themeColor="text1"/>
          <w:lang w:val="en-US" w:eastAsia="zh-CN"/>
        </w:rPr>
        <w:tab/>
      </w:r>
      <w:r w:rsidR="00D04A5B" w:rsidRPr="00DF33AB">
        <w:rPr>
          <w:rFonts w:ascii="Garamond" w:eastAsia="Calibri" w:hAnsi="Garamond"/>
          <w:b/>
          <w:bCs/>
          <w:iCs/>
          <w:color w:val="000000" w:themeColor="text1"/>
          <w:lang w:val="en-US" w:eastAsia="zh-CN"/>
        </w:rPr>
        <w:t>Develop a regional framework for sustained recovery</w:t>
      </w:r>
    </w:p>
    <w:p w14:paraId="68FD189C" w14:textId="3B27AD26" w:rsidR="00D04A5B" w:rsidRDefault="00D04A5B" w:rsidP="00AF45BA">
      <w:pPr>
        <w:pStyle w:val="ListParagraph"/>
        <w:numPr>
          <w:ilvl w:val="0"/>
          <w:numId w:val="7"/>
        </w:numPr>
        <w:spacing w:after="0" w:line="240" w:lineRule="auto"/>
        <w:ind w:hanging="294"/>
        <w:jc w:val="both"/>
        <w:rPr>
          <w:rFonts w:ascii="Garamond" w:eastAsia="Calibri" w:hAnsi="Garamond"/>
          <w:iCs/>
          <w:color w:val="000000" w:themeColor="text1"/>
          <w:lang w:val="en-US" w:eastAsia="zh-CN"/>
        </w:rPr>
      </w:pPr>
      <w:r>
        <w:rPr>
          <w:rFonts w:ascii="Garamond" w:eastAsia="Calibri" w:hAnsi="Garamond"/>
          <w:iCs/>
          <w:color w:val="000000" w:themeColor="text1"/>
          <w:lang w:val="en-US" w:eastAsia="zh-CN"/>
        </w:rPr>
        <w:t>Develop a</w:t>
      </w:r>
      <w:r w:rsidRPr="00E416BE">
        <w:rPr>
          <w:rFonts w:ascii="Garamond" w:eastAsia="Calibri" w:hAnsi="Garamond"/>
          <w:iCs/>
          <w:color w:val="000000" w:themeColor="text1"/>
          <w:lang w:val="en-US" w:eastAsia="zh-CN"/>
        </w:rPr>
        <w:t xml:space="preserve"> region-wide framework for </w:t>
      </w:r>
      <w:r>
        <w:rPr>
          <w:rFonts w:ascii="Garamond" w:eastAsia="Calibri" w:hAnsi="Garamond"/>
          <w:iCs/>
          <w:color w:val="000000" w:themeColor="text1"/>
          <w:lang w:val="en-US" w:eastAsia="zh-CN"/>
        </w:rPr>
        <w:t>sustained</w:t>
      </w:r>
      <w:r w:rsidRPr="00E416BE">
        <w:rPr>
          <w:rFonts w:ascii="Garamond" w:eastAsia="Calibri" w:hAnsi="Garamond"/>
          <w:iCs/>
          <w:color w:val="000000" w:themeColor="text1"/>
          <w:lang w:val="en-US" w:eastAsia="zh-CN"/>
        </w:rPr>
        <w:t xml:space="preserve"> recovery </w:t>
      </w:r>
      <w:r w:rsidR="0073766F">
        <w:rPr>
          <w:rFonts w:ascii="Garamond" w:eastAsia="Calibri" w:hAnsi="Garamond"/>
          <w:iCs/>
          <w:color w:val="000000" w:themeColor="text1"/>
          <w:lang w:val="en-US" w:eastAsia="zh-CN"/>
        </w:rPr>
        <w:t xml:space="preserve">and resilience so as </w:t>
      </w:r>
      <w:r>
        <w:rPr>
          <w:rFonts w:ascii="Garamond" w:eastAsia="Calibri" w:hAnsi="Garamond"/>
          <w:iCs/>
          <w:color w:val="000000" w:themeColor="text1"/>
          <w:lang w:val="en-US" w:eastAsia="zh-CN"/>
        </w:rPr>
        <w:t xml:space="preserve">to </w:t>
      </w:r>
      <w:r w:rsidRPr="00E416BE">
        <w:rPr>
          <w:rFonts w:ascii="Garamond" w:eastAsia="Calibri" w:hAnsi="Garamond"/>
          <w:iCs/>
          <w:color w:val="000000" w:themeColor="text1"/>
          <w:lang w:val="en-US" w:eastAsia="zh-CN"/>
        </w:rPr>
        <w:t>enable the sharing of best practices in post-pandemic policy setting.</w:t>
      </w:r>
      <w:r w:rsidR="00013B05">
        <w:rPr>
          <w:rFonts w:ascii="Garamond" w:eastAsia="Calibri" w:hAnsi="Garamond"/>
          <w:iCs/>
          <w:color w:val="000000" w:themeColor="text1"/>
          <w:lang w:val="en-US" w:eastAsia="zh-CN"/>
        </w:rPr>
        <w:t xml:space="preserve"> </w:t>
      </w:r>
    </w:p>
    <w:p w14:paraId="7C1D66BF" w14:textId="23009912" w:rsidR="00D04A5B" w:rsidRPr="00D04A5B" w:rsidRDefault="00D04A5B" w:rsidP="00AF45BA">
      <w:pPr>
        <w:pStyle w:val="ListParagraph"/>
        <w:numPr>
          <w:ilvl w:val="0"/>
          <w:numId w:val="7"/>
        </w:numPr>
        <w:spacing w:after="0" w:line="240" w:lineRule="auto"/>
        <w:ind w:hanging="294"/>
        <w:jc w:val="both"/>
        <w:rPr>
          <w:rFonts w:ascii="Garamond" w:eastAsia="Calibri" w:hAnsi="Garamond"/>
          <w:iCs/>
          <w:color w:val="000000" w:themeColor="text1"/>
          <w:lang w:val="en-US" w:eastAsia="zh-CN"/>
        </w:rPr>
      </w:pPr>
      <w:r w:rsidRPr="00D04A5B">
        <w:rPr>
          <w:rFonts w:ascii="Garamond" w:eastAsia="Calibri" w:hAnsi="Garamond"/>
          <w:iCs/>
          <w:color w:val="000000" w:themeColor="text1"/>
          <w:lang w:val="en-US" w:eastAsia="zh-CN"/>
        </w:rPr>
        <w:t xml:space="preserve">Work collaboratively with other multilateral institutions to re-establish global stability during and in the aftermath of the COVID-19 pandemic. </w:t>
      </w:r>
    </w:p>
    <w:p w14:paraId="01AA6C2F" w14:textId="77777777" w:rsidR="00EB23B5" w:rsidRPr="005635E8" w:rsidRDefault="00EB23B5" w:rsidP="00EB23B5">
      <w:pPr>
        <w:pStyle w:val="ListParagraph"/>
        <w:spacing w:after="0" w:line="240" w:lineRule="auto"/>
        <w:jc w:val="both"/>
        <w:rPr>
          <w:rFonts w:ascii="Garamond" w:hAnsi="Garamond"/>
          <w:lang w:val="en-US"/>
        </w:rPr>
      </w:pPr>
    </w:p>
    <w:p w14:paraId="1C79865A" w14:textId="41D759C3" w:rsidR="00C5187A" w:rsidRDefault="00974EF9" w:rsidP="00BD2403">
      <w:pPr>
        <w:pStyle w:val="ListParagraph"/>
        <w:spacing w:after="0" w:line="240" w:lineRule="auto"/>
        <w:ind w:left="0"/>
        <w:jc w:val="both"/>
        <w:rPr>
          <w:rFonts w:ascii="Garamond" w:hAnsi="Garamond" w:cstheme="minorHAnsi"/>
          <w:lang w:val="en-US"/>
        </w:rPr>
      </w:pPr>
      <w:r>
        <w:rPr>
          <w:rFonts w:ascii="Garamond" w:hAnsi="Garamond"/>
          <w:lang w:val="en-US"/>
        </w:rPr>
        <w:t>It is vital that APEC Ministers and Leaders continue to meet, including with ABAC</w:t>
      </w:r>
      <w:r w:rsidR="00152D1F">
        <w:rPr>
          <w:rFonts w:ascii="Garamond" w:hAnsi="Garamond"/>
          <w:lang w:val="en-US"/>
        </w:rPr>
        <w:t xml:space="preserve"> and its strategic partner</w:t>
      </w:r>
      <w:r>
        <w:rPr>
          <w:rFonts w:ascii="Garamond" w:hAnsi="Garamond"/>
          <w:lang w:val="en-US"/>
        </w:rPr>
        <w:t>’s participation as appropriate, as we collectively seek to make tangible progress on the action agenda set out above.</w:t>
      </w:r>
      <w:r w:rsidR="00C5187A">
        <w:rPr>
          <w:rFonts w:ascii="Garamond" w:hAnsi="Garamond"/>
          <w:lang w:val="en-US"/>
        </w:rPr>
        <w:t xml:space="preserve"> </w:t>
      </w:r>
      <w:r w:rsidR="00C5187A">
        <w:rPr>
          <w:rFonts w:ascii="Garamond" w:hAnsi="Garamond" w:cstheme="minorHAnsi"/>
          <w:lang w:val="en-US"/>
        </w:rPr>
        <w:t>To that end, business must also connect quickly in a coordinated and practical manner.</w:t>
      </w:r>
    </w:p>
    <w:p w14:paraId="569F1661" w14:textId="302A637A" w:rsidR="00BD2403" w:rsidRDefault="00BD2403" w:rsidP="00BD2403">
      <w:pPr>
        <w:pStyle w:val="ListParagraph"/>
        <w:spacing w:after="0" w:line="240" w:lineRule="auto"/>
        <w:ind w:left="0"/>
        <w:jc w:val="both"/>
        <w:rPr>
          <w:rFonts w:ascii="Garamond" w:hAnsi="Garamond" w:cstheme="minorHAnsi"/>
          <w:lang w:val="en-US"/>
        </w:rPr>
      </w:pPr>
    </w:p>
    <w:p w14:paraId="1C989812" w14:textId="6B1130E4" w:rsidR="000D34E2" w:rsidRPr="00790822" w:rsidRDefault="002425E5" w:rsidP="00BD2403">
      <w:pPr>
        <w:spacing w:after="0" w:line="240" w:lineRule="auto"/>
        <w:jc w:val="both"/>
        <w:rPr>
          <w:rFonts w:ascii="Garamond" w:hAnsi="Garamond"/>
          <w:lang w:val="en-US"/>
        </w:rPr>
      </w:pPr>
      <w:r w:rsidRPr="00790822">
        <w:rPr>
          <w:rFonts w:ascii="Garamond" w:hAnsi="Garamond"/>
          <w:lang w:val="en-US"/>
        </w:rPr>
        <w:t>No single economy has the solution to the pandemic and its public health, social and economic consequences, but sharing experiences, keeping markets open and working together will achieve the best outcomes for us all.</w:t>
      </w:r>
      <w:r w:rsidR="000D34E2" w:rsidRPr="00790822">
        <w:rPr>
          <w:rFonts w:ascii="Garamond" w:hAnsi="Garamond"/>
          <w:lang w:val="en-US"/>
        </w:rPr>
        <w:t xml:space="preserve"> APEC must remain true to its fundamental belief that regional cooperation, open markets, integration, innovation</w:t>
      </w:r>
      <w:r w:rsidR="0073766F">
        <w:rPr>
          <w:rFonts w:ascii="Garamond" w:hAnsi="Garamond"/>
          <w:lang w:val="en-US"/>
        </w:rPr>
        <w:t xml:space="preserve"> and </w:t>
      </w:r>
      <w:r w:rsidR="000D34E2" w:rsidRPr="00790822">
        <w:rPr>
          <w:rFonts w:ascii="Garamond" w:hAnsi="Garamond"/>
          <w:lang w:val="en-US"/>
        </w:rPr>
        <w:t>inclusive</w:t>
      </w:r>
      <w:r w:rsidR="0073766F">
        <w:rPr>
          <w:rFonts w:ascii="Garamond" w:hAnsi="Garamond"/>
          <w:lang w:val="en-US"/>
        </w:rPr>
        <w:t xml:space="preserve">, secure and sustainable </w:t>
      </w:r>
      <w:r w:rsidR="000D34E2" w:rsidRPr="00790822">
        <w:rPr>
          <w:rFonts w:ascii="Garamond" w:hAnsi="Garamond"/>
          <w:lang w:val="en-US"/>
        </w:rPr>
        <w:t>growth best equip APEC economies to achieve the well-being</w:t>
      </w:r>
      <w:r w:rsidR="0073766F">
        <w:rPr>
          <w:rFonts w:ascii="Garamond" w:hAnsi="Garamond"/>
          <w:lang w:val="en-US"/>
        </w:rPr>
        <w:t xml:space="preserve"> and </w:t>
      </w:r>
      <w:r w:rsidR="000D34E2" w:rsidRPr="00790822">
        <w:rPr>
          <w:rFonts w:ascii="Garamond" w:hAnsi="Garamond"/>
          <w:lang w:val="en-US"/>
        </w:rPr>
        <w:t xml:space="preserve">prosperity of </w:t>
      </w:r>
      <w:r w:rsidR="008E0468">
        <w:rPr>
          <w:rFonts w:ascii="Garamond" w:hAnsi="Garamond"/>
          <w:lang w:val="en-US"/>
        </w:rPr>
        <w:t>our</w:t>
      </w:r>
      <w:r w:rsidR="000D34E2" w:rsidRPr="00790822">
        <w:rPr>
          <w:rFonts w:ascii="Garamond" w:hAnsi="Garamond"/>
          <w:lang w:val="en-US"/>
        </w:rPr>
        <w:t xml:space="preserve"> communities. </w:t>
      </w:r>
    </w:p>
    <w:p w14:paraId="5759E6B7" w14:textId="77777777" w:rsidR="00C77537" w:rsidRPr="00790822" w:rsidRDefault="00C77537" w:rsidP="002B0892">
      <w:pPr>
        <w:spacing w:after="0" w:line="240" w:lineRule="auto"/>
        <w:jc w:val="both"/>
        <w:rPr>
          <w:rFonts w:ascii="Garamond" w:hAnsi="Garamond"/>
          <w:b/>
          <w:bCs/>
          <w:lang w:val="en-US"/>
        </w:rPr>
      </w:pPr>
    </w:p>
    <w:p w14:paraId="6474CC71" w14:textId="77777777" w:rsidR="00E06530" w:rsidRPr="00AD4A8E" w:rsidRDefault="00E06530" w:rsidP="00AD4A8E">
      <w:pPr>
        <w:rPr>
          <w:rFonts w:ascii="Garamond" w:hAnsi="Garamond"/>
          <w:b/>
          <w:bCs/>
          <w:lang w:val="en-US"/>
        </w:rPr>
      </w:pPr>
    </w:p>
    <w:sectPr w:rsidR="00E06530" w:rsidRPr="00AD4A8E" w:rsidSect="001412B2">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323BD" w14:textId="77777777" w:rsidR="004B2CDA" w:rsidRDefault="004B2CDA" w:rsidP="0022369F">
      <w:pPr>
        <w:spacing w:after="0" w:line="240" w:lineRule="auto"/>
      </w:pPr>
      <w:r>
        <w:separator/>
      </w:r>
    </w:p>
  </w:endnote>
  <w:endnote w:type="continuationSeparator" w:id="0">
    <w:p w14:paraId="76E7BE8F" w14:textId="77777777" w:rsidR="004B2CDA" w:rsidRDefault="004B2CDA" w:rsidP="0022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904002"/>
      <w:docPartObj>
        <w:docPartGallery w:val="Page Numbers (Bottom of Page)"/>
        <w:docPartUnique/>
      </w:docPartObj>
    </w:sdtPr>
    <w:sdtEndPr>
      <w:rPr>
        <w:noProof/>
      </w:rPr>
    </w:sdtEndPr>
    <w:sdtContent>
      <w:p w14:paraId="4202A6C1" w14:textId="4DF977ED" w:rsidR="00096787" w:rsidRDefault="000967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8EFD14" w14:textId="77777777" w:rsidR="0022369F" w:rsidRDefault="00223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D52BF" w14:textId="77777777" w:rsidR="004B2CDA" w:rsidRDefault="004B2CDA" w:rsidP="0022369F">
      <w:pPr>
        <w:spacing w:after="0" w:line="240" w:lineRule="auto"/>
      </w:pPr>
      <w:r>
        <w:separator/>
      </w:r>
    </w:p>
  </w:footnote>
  <w:footnote w:type="continuationSeparator" w:id="0">
    <w:p w14:paraId="72CB2BB3" w14:textId="77777777" w:rsidR="004B2CDA" w:rsidRDefault="004B2CDA" w:rsidP="00223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B47"/>
    <w:multiLevelType w:val="hybridMultilevel"/>
    <w:tmpl w:val="64E296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5211E"/>
    <w:multiLevelType w:val="hybridMultilevel"/>
    <w:tmpl w:val="5086AB1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B4D43"/>
    <w:multiLevelType w:val="hybridMultilevel"/>
    <w:tmpl w:val="E64C8590"/>
    <w:lvl w:ilvl="0" w:tplc="08090001">
      <w:start w:val="1"/>
      <w:numFmt w:val="bullet"/>
      <w:lvlText w:val=""/>
      <w:lvlJc w:val="left"/>
      <w:pPr>
        <w:ind w:left="786" w:hanging="360"/>
      </w:pPr>
      <w:rPr>
        <w:rFonts w:ascii="Symbol" w:hAnsi="Symbo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 w15:restartNumberingAfterBreak="0">
    <w:nsid w:val="0C624984"/>
    <w:multiLevelType w:val="hybridMultilevel"/>
    <w:tmpl w:val="2316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A02A2"/>
    <w:multiLevelType w:val="hybridMultilevel"/>
    <w:tmpl w:val="25D481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782012D"/>
    <w:multiLevelType w:val="hybridMultilevel"/>
    <w:tmpl w:val="2C088A0C"/>
    <w:lvl w:ilvl="0" w:tplc="DD86E448">
      <w:start w:val="4"/>
      <w:numFmt w:val="decimal"/>
      <w:lvlText w:val="%1."/>
      <w:lvlJc w:val="left"/>
      <w:pPr>
        <w:ind w:left="720" w:hanging="360"/>
      </w:pPr>
      <w:rPr>
        <w:rFonts w:eastAsia="Calibri" w:hint="default"/>
        <w:b/>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BA1573"/>
    <w:multiLevelType w:val="hybridMultilevel"/>
    <w:tmpl w:val="358A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95BFB"/>
    <w:multiLevelType w:val="hybridMultilevel"/>
    <w:tmpl w:val="0658B400"/>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CC7369B"/>
    <w:multiLevelType w:val="hybridMultilevel"/>
    <w:tmpl w:val="1A0A4C38"/>
    <w:lvl w:ilvl="0" w:tplc="34090001">
      <w:start w:val="1"/>
      <w:numFmt w:val="bullet"/>
      <w:lvlText w:val=""/>
      <w:lvlJc w:val="left"/>
      <w:pPr>
        <w:ind w:left="1146" w:hanging="360"/>
      </w:pPr>
      <w:rPr>
        <w:rFonts w:ascii="Symbol" w:hAnsi="Symbol"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9" w15:restartNumberingAfterBreak="0">
    <w:nsid w:val="4EC228A9"/>
    <w:multiLevelType w:val="hybridMultilevel"/>
    <w:tmpl w:val="40DA76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537D35A3"/>
    <w:multiLevelType w:val="hybridMultilevel"/>
    <w:tmpl w:val="F7B6AE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C56C8"/>
    <w:multiLevelType w:val="hybridMultilevel"/>
    <w:tmpl w:val="04965E8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543611D"/>
    <w:multiLevelType w:val="hybridMultilevel"/>
    <w:tmpl w:val="43129BEA"/>
    <w:lvl w:ilvl="0" w:tplc="E1D65F38">
      <w:start w:val="1"/>
      <w:numFmt w:val="decimal"/>
      <w:lvlText w:val="%1."/>
      <w:lvlJc w:val="left"/>
      <w:pPr>
        <w:ind w:left="720" w:hanging="360"/>
      </w:pPr>
      <w:rPr>
        <w:rFonts w:eastAsiaTheme="minorHAnsi" w:cstheme="minorBidi"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9785669"/>
    <w:multiLevelType w:val="hybridMultilevel"/>
    <w:tmpl w:val="740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86437"/>
    <w:multiLevelType w:val="hybridMultilevel"/>
    <w:tmpl w:val="65143A78"/>
    <w:lvl w:ilvl="0" w:tplc="0409000F">
      <w:start w:val="1"/>
      <w:numFmt w:val="decimal"/>
      <w:lvlText w:val="%1."/>
      <w:lvlJc w:val="left"/>
      <w:pPr>
        <w:ind w:left="9716" w:hanging="360"/>
      </w:pPr>
      <w:rPr>
        <w:rFonts w:hint="default"/>
      </w:rPr>
    </w:lvl>
    <w:lvl w:ilvl="1" w:tplc="04090001">
      <w:start w:val="1"/>
      <w:numFmt w:val="bullet"/>
      <w:lvlText w:val=""/>
      <w:lvlJc w:val="left"/>
      <w:pPr>
        <w:ind w:left="72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0"/>
  </w:num>
  <w:num w:numId="3">
    <w:abstractNumId w:val="13"/>
  </w:num>
  <w:num w:numId="4">
    <w:abstractNumId w:val="3"/>
  </w:num>
  <w:num w:numId="5">
    <w:abstractNumId w:val="6"/>
  </w:num>
  <w:num w:numId="6">
    <w:abstractNumId w:val="1"/>
  </w:num>
  <w:num w:numId="7">
    <w:abstractNumId w:val="9"/>
  </w:num>
  <w:num w:numId="8">
    <w:abstractNumId w:val="4"/>
  </w:num>
  <w:num w:numId="9">
    <w:abstractNumId w:val="10"/>
  </w:num>
  <w:num w:numId="10">
    <w:abstractNumId w:val="11"/>
  </w:num>
  <w:num w:numId="11">
    <w:abstractNumId w:val="5"/>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5C"/>
    <w:rsid w:val="00001A14"/>
    <w:rsid w:val="0000487A"/>
    <w:rsid w:val="00006304"/>
    <w:rsid w:val="00013B05"/>
    <w:rsid w:val="00013B1B"/>
    <w:rsid w:val="00015E94"/>
    <w:rsid w:val="0001647C"/>
    <w:rsid w:val="000240AC"/>
    <w:rsid w:val="000252A7"/>
    <w:rsid w:val="000268BD"/>
    <w:rsid w:val="000315C5"/>
    <w:rsid w:val="00037FD9"/>
    <w:rsid w:val="000442B4"/>
    <w:rsid w:val="000445BF"/>
    <w:rsid w:val="00053B2B"/>
    <w:rsid w:val="0005767F"/>
    <w:rsid w:val="00062C6F"/>
    <w:rsid w:val="000651AD"/>
    <w:rsid w:val="00065BA9"/>
    <w:rsid w:val="00073B99"/>
    <w:rsid w:val="00074E79"/>
    <w:rsid w:val="00076132"/>
    <w:rsid w:val="00081817"/>
    <w:rsid w:val="00085827"/>
    <w:rsid w:val="00085D90"/>
    <w:rsid w:val="00093CF0"/>
    <w:rsid w:val="00096726"/>
    <w:rsid w:val="00096787"/>
    <w:rsid w:val="000A5086"/>
    <w:rsid w:val="000B27C8"/>
    <w:rsid w:val="000B4132"/>
    <w:rsid w:val="000B4FD1"/>
    <w:rsid w:val="000C23A4"/>
    <w:rsid w:val="000C2845"/>
    <w:rsid w:val="000C3E4A"/>
    <w:rsid w:val="000D34E2"/>
    <w:rsid w:val="000D3860"/>
    <w:rsid w:val="000D6827"/>
    <w:rsid w:val="000E07CC"/>
    <w:rsid w:val="000E2BC3"/>
    <w:rsid w:val="000F3A46"/>
    <w:rsid w:val="000F4949"/>
    <w:rsid w:val="001115C3"/>
    <w:rsid w:val="00111FDE"/>
    <w:rsid w:val="00117A54"/>
    <w:rsid w:val="00135BB6"/>
    <w:rsid w:val="001412B2"/>
    <w:rsid w:val="00146AA7"/>
    <w:rsid w:val="001472D6"/>
    <w:rsid w:val="0014796C"/>
    <w:rsid w:val="00152D1F"/>
    <w:rsid w:val="001559E7"/>
    <w:rsid w:val="0016478F"/>
    <w:rsid w:val="001666C2"/>
    <w:rsid w:val="00173980"/>
    <w:rsid w:val="00177B58"/>
    <w:rsid w:val="00184AD1"/>
    <w:rsid w:val="00185B25"/>
    <w:rsid w:val="00185E44"/>
    <w:rsid w:val="00193088"/>
    <w:rsid w:val="001950C8"/>
    <w:rsid w:val="001A288C"/>
    <w:rsid w:val="001A73A8"/>
    <w:rsid w:val="001A7554"/>
    <w:rsid w:val="001B1BCB"/>
    <w:rsid w:val="001B7D9C"/>
    <w:rsid w:val="001C5AB8"/>
    <w:rsid w:val="001D07FA"/>
    <w:rsid w:val="001D0BC3"/>
    <w:rsid w:val="001F0C24"/>
    <w:rsid w:val="001F506A"/>
    <w:rsid w:val="00207889"/>
    <w:rsid w:val="0022369F"/>
    <w:rsid w:val="00233EA2"/>
    <w:rsid w:val="0023664E"/>
    <w:rsid w:val="00237CD2"/>
    <w:rsid w:val="00237F1D"/>
    <w:rsid w:val="002425E5"/>
    <w:rsid w:val="00246A0D"/>
    <w:rsid w:val="00254A91"/>
    <w:rsid w:val="00261A84"/>
    <w:rsid w:val="002637F5"/>
    <w:rsid w:val="002639A7"/>
    <w:rsid w:val="0027149C"/>
    <w:rsid w:val="00276616"/>
    <w:rsid w:val="002817C5"/>
    <w:rsid w:val="00292090"/>
    <w:rsid w:val="00293036"/>
    <w:rsid w:val="00294958"/>
    <w:rsid w:val="002A3918"/>
    <w:rsid w:val="002B0892"/>
    <w:rsid w:val="002B72FA"/>
    <w:rsid w:val="002C0E61"/>
    <w:rsid w:val="002E1C18"/>
    <w:rsid w:val="002F043F"/>
    <w:rsid w:val="002F1B8E"/>
    <w:rsid w:val="002F5B77"/>
    <w:rsid w:val="00304427"/>
    <w:rsid w:val="00304550"/>
    <w:rsid w:val="00304F32"/>
    <w:rsid w:val="003060A2"/>
    <w:rsid w:val="00306F3D"/>
    <w:rsid w:val="00312E56"/>
    <w:rsid w:val="0031786A"/>
    <w:rsid w:val="00317BE0"/>
    <w:rsid w:val="0033121B"/>
    <w:rsid w:val="00336EB3"/>
    <w:rsid w:val="00343331"/>
    <w:rsid w:val="00352F1F"/>
    <w:rsid w:val="00353D81"/>
    <w:rsid w:val="0037707D"/>
    <w:rsid w:val="003A107A"/>
    <w:rsid w:val="003A11C0"/>
    <w:rsid w:val="003A669F"/>
    <w:rsid w:val="003A7C2F"/>
    <w:rsid w:val="003B2E14"/>
    <w:rsid w:val="003B3923"/>
    <w:rsid w:val="003D726B"/>
    <w:rsid w:val="00403987"/>
    <w:rsid w:val="0042053D"/>
    <w:rsid w:val="004219A3"/>
    <w:rsid w:val="00425F0C"/>
    <w:rsid w:val="00426196"/>
    <w:rsid w:val="00432DF4"/>
    <w:rsid w:val="0044318D"/>
    <w:rsid w:val="004461FC"/>
    <w:rsid w:val="0044635B"/>
    <w:rsid w:val="00446FC2"/>
    <w:rsid w:val="004614F5"/>
    <w:rsid w:val="00463190"/>
    <w:rsid w:val="004712A2"/>
    <w:rsid w:val="00476BC5"/>
    <w:rsid w:val="004849B0"/>
    <w:rsid w:val="00484B55"/>
    <w:rsid w:val="00493B8F"/>
    <w:rsid w:val="004978A0"/>
    <w:rsid w:val="004A093E"/>
    <w:rsid w:val="004A47C5"/>
    <w:rsid w:val="004A7B7D"/>
    <w:rsid w:val="004B1C9B"/>
    <w:rsid w:val="004B2CDA"/>
    <w:rsid w:val="004B55F9"/>
    <w:rsid w:val="004C06CF"/>
    <w:rsid w:val="004D4141"/>
    <w:rsid w:val="004D48E3"/>
    <w:rsid w:val="004E1E8E"/>
    <w:rsid w:val="004E3B5E"/>
    <w:rsid w:val="004E4F2E"/>
    <w:rsid w:val="004F4809"/>
    <w:rsid w:val="00511ECA"/>
    <w:rsid w:val="00522946"/>
    <w:rsid w:val="00525F85"/>
    <w:rsid w:val="005504A1"/>
    <w:rsid w:val="00551015"/>
    <w:rsid w:val="005529A6"/>
    <w:rsid w:val="00554562"/>
    <w:rsid w:val="00556C73"/>
    <w:rsid w:val="005635E8"/>
    <w:rsid w:val="005640AA"/>
    <w:rsid w:val="00565BB1"/>
    <w:rsid w:val="00583330"/>
    <w:rsid w:val="00586EDA"/>
    <w:rsid w:val="005953F7"/>
    <w:rsid w:val="005A789C"/>
    <w:rsid w:val="005B09B2"/>
    <w:rsid w:val="005B29E6"/>
    <w:rsid w:val="005B388D"/>
    <w:rsid w:val="005B4370"/>
    <w:rsid w:val="005B669A"/>
    <w:rsid w:val="005D5C7C"/>
    <w:rsid w:val="005D7A0C"/>
    <w:rsid w:val="005E1787"/>
    <w:rsid w:val="005E6CCA"/>
    <w:rsid w:val="005F4A62"/>
    <w:rsid w:val="005F67CF"/>
    <w:rsid w:val="00603B85"/>
    <w:rsid w:val="006074B7"/>
    <w:rsid w:val="00616A8B"/>
    <w:rsid w:val="0062745F"/>
    <w:rsid w:val="00627CC6"/>
    <w:rsid w:val="00631A3B"/>
    <w:rsid w:val="00633EEC"/>
    <w:rsid w:val="0063460F"/>
    <w:rsid w:val="0064674C"/>
    <w:rsid w:val="006611AA"/>
    <w:rsid w:val="006774AF"/>
    <w:rsid w:val="00681207"/>
    <w:rsid w:val="006813C2"/>
    <w:rsid w:val="00686A57"/>
    <w:rsid w:val="0069257E"/>
    <w:rsid w:val="006927BB"/>
    <w:rsid w:val="00697B63"/>
    <w:rsid w:val="006A20A7"/>
    <w:rsid w:val="006A31B8"/>
    <w:rsid w:val="006B1420"/>
    <w:rsid w:val="006B2232"/>
    <w:rsid w:val="006B2B1F"/>
    <w:rsid w:val="006B583E"/>
    <w:rsid w:val="006C40D3"/>
    <w:rsid w:val="006E0E05"/>
    <w:rsid w:val="006E2653"/>
    <w:rsid w:val="006F17DD"/>
    <w:rsid w:val="006F6075"/>
    <w:rsid w:val="006F6A14"/>
    <w:rsid w:val="006F7991"/>
    <w:rsid w:val="0071313D"/>
    <w:rsid w:val="00713FD7"/>
    <w:rsid w:val="0071650E"/>
    <w:rsid w:val="00723323"/>
    <w:rsid w:val="0073766F"/>
    <w:rsid w:val="00744628"/>
    <w:rsid w:val="00745685"/>
    <w:rsid w:val="00751FCA"/>
    <w:rsid w:val="0076361F"/>
    <w:rsid w:val="00773D3F"/>
    <w:rsid w:val="007750D3"/>
    <w:rsid w:val="007769AE"/>
    <w:rsid w:val="00786E60"/>
    <w:rsid w:val="00787246"/>
    <w:rsid w:val="00790822"/>
    <w:rsid w:val="00790BE9"/>
    <w:rsid w:val="00797E60"/>
    <w:rsid w:val="007A255A"/>
    <w:rsid w:val="007A305F"/>
    <w:rsid w:val="007B2E5C"/>
    <w:rsid w:val="007B5A4F"/>
    <w:rsid w:val="007C07C0"/>
    <w:rsid w:val="007C7097"/>
    <w:rsid w:val="007E4499"/>
    <w:rsid w:val="007F068E"/>
    <w:rsid w:val="007F7CAF"/>
    <w:rsid w:val="00802EA9"/>
    <w:rsid w:val="008060B6"/>
    <w:rsid w:val="00820E4F"/>
    <w:rsid w:val="00827335"/>
    <w:rsid w:val="00843E82"/>
    <w:rsid w:val="00845F48"/>
    <w:rsid w:val="00846849"/>
    <w:rsid w:val="0084725C"/>
    <w:rsid w:val="008511FE"/>
    <w:rsid w:val="008516CB"/>
    <w:rsid w:val="00851F6B"/>
    <w:rsid w:val="008559DA"/>
    <w:rsid w:val="00857D38"/>
    <w:rsid w:val="00865D6F"/>
    <w:rsid w:val="00867335"/>
    <w:rsid w:val="00880FF6"/>
    <w:rsid w:val="008C219D"/>
    <w:rsid w:val="008C3B88"/>
    <w:rsid w:val="008C5B94"/>
    <w:rsid w:val="008D0FA8"/>
    <w:rsid w:val="008E0468"/>
    <w:rsid w:val="008F179B"/>
    <w:rsid w:val="008F296F"/>
    <w:rsid w:val="008F7179"/>
    <w:rsid w:val="009025AD"/>
    <w:rsid w:val="0090541B"/>
    <w:rsid w:val="00913430"/>
    <w:rsid w:val="00916533"/>
    <w:rsid w:val="00935E92"/>
    <w:rsid w:val="009425C7"/>
    <w:rsid w:val="009428F0"/>
    <w:rsid w:val="00945456"/>
    <w:rsid w:val="009465D8"/>
    <w:rsid w:val="0094756B"/>
    <w:rsid w:val="00954672"/>
    <w:rsid w:val="00957411"/>
    <w:rsid w:val="00970133"/>
    <w:rsid w:val="00970848"/>
    <w:rsid w:val="00974EF9"/>
    <w:rsid w:val="009A63D6"/>
    <w:rsid w:val="009A6993"/>
    <w:rsid w:val="009C12D3"/>
    <w:rsid w:val="009C22B9"/>
    <w:rsid w:val="009C5CBD"/>
    <w:rsid w:val="009D0678"/>
    <w:rsid w:val="009D4122"/>
    <w:rsid w:val="009D7A5F"/>
    <w:rsid w:val="009E1AE4"/>
    <w:rsid w:val="009E5008"/>
    <w:rsid w:val="009F2BDC"/>
    <w:rsid w:val="009F5D1E"/>
    <w:rsid w:val="009F6280"/>
    <w:rsid w:val="00A04462"/>
    <w:rsid w:val="00A07806"/>
    <w:rsid w:val="00A127CD"/>
    <w:rsid w:val="00A46140"/>
    <w:rsid w:val="00A50CD8"/>
    <w:rsid w:val="00A5229B"/>
    <w:rsid w:val="00A54CD9"/>
    <w:rsid w:val="00A55832"/>
    <w:rsid w:val="00A57E3B"/>
    <w:rsid w:val="00A61BE3"/>
    <w:rsid w:val="00A70478"/>
    <w:rsid w:val="00A73C79"/>
    <w:rsid w:val="00A84BA4"/>
    <w:rsid w:val="00A9256B"/>
    <w:rsid w:val="00A941FE"/>
    <w:rsid w:val="00A952E3"/>
    <w:rsid w:val="00AA0650"/>
    <w:rsid w:val="00AB4704"/>
    <w:rsid w:val="00AB6DA6"/>
    <w:rsid w:val="00AB6FDF"/>
    <w:rsid w:val="00AC56D0"/>
    <w:rsid w:val="00AD2064"/>
    <w:rsid w:val="00AD3546"/>
    <w:rsid w:val="00AD3FBC"/>
    <w:rsid w:val="00AD4A8E"/>
    <w:rsid w:val="00AD523F"/>
    <w:rsid w:val="00AE6B0E"/>
    <w:rsid w:val="00AF45BA"/>
    <w:rsid w:val="00B065FC"/>
    <w:rsid w:val="00B07BC8"/>
    <w:rsid w:val="00B15D40"/>
    <w:rsid w:val="00B20080"/>
    <w:rsid w:val="00B31598"/>
    <w:rsid w:val="00B60C3C"/>
    <w:rsid w:val="00B61D9E"/>
    <w:rsid w:val="00B71C3D"/>
    <w:rsid w:val="00B74D45"/>
    <w:rsid w:val="00B8554D"/>
    <w:rsid w:val="00BA7558"/>
    <w:rsid w:val="00BC6DF5"/>
    <w:rsid w:val="00BC7780"/>
    <w:rsid w:val="00BC7C02"/>
    <w:rsid w:val="00BD2403"/>
    <w:rsid w:val="00BF1159"/>
    <w:rsid w:val="00C05770"/>
    <w:rsid w:val="00C14DCB"/>
    <w:rsid w:val="00C17AC8"/>
    <w:rsid w:val="00C217CA"/>
    <w:rsid w:val="00C2332A"/>
    <w:rsid w:val="00C2652F"/>
    <w:rsid w:val="00C27F88"/>
    <w:rsid w:val="00C312A6"/>
    <w:rsid w:val="00C316EB"/>
    <w:rsid w:val="00C33844"/>
    <w:rsid w:val="00C352DE"/>
    <w:rsid w:val="00C42F4E"/>
    <w:rsid w:val="00C4397F"/>
    <w:rsid w:val="00C456B6"/>
    <w:rsid w:val="00C45C84"/>
    <w:rsid w:val="00C5187A"/>
    <w:rsid w:val="00C55AEF"/>
    <w:rsid w:val="00C64C8C"/>
    <w:rsid w:val="00C77537"/>
    <w:rsid w:val="00C9635D"/>
    <w:rsid w:val="00CA2BE8"/>
    <w:rsid w:val="00CB2D3F"/>
    <w:rsid w:val="00CB6790"/>
    <w:rsid w:val="00CB7023"/>
    <w:rsid w:val="00CC4596"/>
    <w:rsid w:val="00CD3863"/>
    <w:rsid w:val="00CD5FEC"/>
    <w:rsid w:val="00CE44D0"/>
    <w:rsid w:val="00CF03AA"/>
    <w:rsid w:val="00CF43E4"/>
    <w:rsid w:val="00CF598C"/>
    <w:rsid w:val="00D04A5B"/>
    <w:rsid w:val="00D15EA9"/>
    <w:rsid w:val="00D16ACB"/>
    <w:rsid w:val="00D20154"/>
    <w:rsid w:val="00D326B9"/>
    <w:rsid w:val="00D43AA9"/>
    <w:rsid w:val="00D478F6"/>
    <w:rsid w:val="00D50363"/>
    <w:rsid w:val="00D52BC3"/>
    <w:rsid w:val="00D56B9D"/>
    <w:rsid w:val="00D6661D"/>
    <w:rsid w:val="00D66D84"/>
    <w:rsid w:val="00D75F74"/>
    <w:rsid w:val="00D820B7"/>
    <w:rsid w:val="00D84137"/>
    <w:rsid w:val="00D869C6"/>
    <w:rsid w:val="00D91BD7"/>
    <w:rsid w:val="00DA1243"/>
    <w:rsid w:val="00DA1512"/>
    <w:rsid w:val="00DB51A6"/>
    <w:rsid w:val="00DC0729"/>
    <w:rsid w:val="00DC2EA6"/>
    <w:rsid w:val="00DD1EB7"/>
    <w:rsid w:val="00DD26D2"/>
    <w:rsid w:val="00DE4ABC"/>
    <w:rsid w:val="00DE66AF"/>
    <w:rsid w:val="00DF33AB"/>
    <w:rsid w:val="00DF5F57"/>
    <w:rsid w:val="00DF7291"/>
    <w:rsid w:val="00E01DC2"/>
    <w:rsid w:val="00E03A22"/>
    <w:rsid w:val="00E06530"/>
    <w:rsid w:val="00E26110"/>
    <w:rsid w:val="00E26432"/>
    <w:rsid w:val="00E27764"/>
    <w:rsid w:val="00E27EA6"/>
    <w:rsid w:val="00E340C8"/>
    <w:rsid w:val="00E500C8"/>
    <w:rsid w:val="00E510DA"/>
    <w:rsid w:val="00E562F7"/>
    <w:rsid w:val="00E6239B"/>
    <w:rsid w:val="00E70D83"/>
    <w:rsid w:val="00E76C67"/>
    <w:rsid w:val="00E819A9"/>
    <w:rsid w:val="00E819B9"/>
    <w:rsid w:val="00E81E4F"/>
    <w:rsid w:val="00E84121"/>
    <w:rsid w:val="00EA2F5E"/>
    <w:rsid w:val="00EB0E9D"/>
    <w:rsid w:val="00EB23B5"/>
    <w:rsid w:val="00EC066E"/>
    <w:rsid w:val="00EC3C70"/>
    <w:rsid w:val="00EC75B0"/>
    <w:rsid w:val="00EE0029"/>
    <w:rsid w:val="00EE2B10"/>
    <w:rsid w:val="00EF2B81"/>
    <w:rsid w:val="00EF3762"/>
    <w:rsid w:val="00F1296F"/>
    <w:rsid w:val="00F14827"/>
    <w:rsid w:val="00F149F3"/>
    <w:rsid w:val="00F31DDB"/>
    <w:rsid w:val="00F46DA1"/>
    <w:rsid w:val="00F473DD"/>
    <w:rsid w:val="00F507DC"/>
    <w:rsid w:val="00F51D7E"/>
    <w:rsid w:val="00F529DB"/>
    <w:rsid w:val="00F52EF6"/>
    <w:rsid w:val="00F55A0B"/>
    <w:rsid w:val="00F56D80"/>
    <w:rsid w:val="00F6035E"/>
    <w:rsid w:val="00F73C08"/>
    <w:rsid w:val="00F75E5F"/>
    <w:rsid w:val="00F775D0"/>
    <w:rsid w:val="00F92BF9"/>
    <w:rsid w:val="00FA0279"/>
    <w:rsid w:val="00FA6AD4"/>
    <w:rsid w:val="00FB10BA"/>
    <w:rsid w:val="00FB3DF2"/>
    <w:rsid w:val="00FC160A"/>
    <w:rsid w:val="00FC32D6"/>
    <w:rsid w:val="00FD130C"/>
    <w:rsid w:val="00FD5F61"/>
    <w:rsid w:val="00FF69A5"/>
  </w:rsids>
  <m:mathPr>
    <m:mathFont m:val="Cambria Math"/>
    <m:brkBin m:val="before"/>
    <m:brkBinSub m:val="--"/>
    <m:smallFrac m:val="0"/>
    <m:dispDef/>
    <m:lMargin m:val="0"/>
    <m:rMargin m:val="0"/>
    <m:defJc m:val="centerGroup"/>
    <m:wrapIndent m:val="1440"/>
    <m:intLim m:val="subSup"/>
    <m:naryLim m:val="undOvr"/>
  </m:mathPr>
  <w:themeFontLang w:val="en-P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923D"/>
  <w15:chartTrackingRefBased/>
  <w15:docId w15:val="{F5F27B95-13EB-4061-82DB-79156768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25C"/>
    <w:pPr>
      <w:ind w:left="720"/>
      <w:contextualSpacing/>
    </w:pPr>
  </w:style>
  <w:style w:type="paragraph" w:styleId="Header">
    <w:name w:val="header"/>
    <w:basedOn w:val="Normal"/>
    <w:link w:val="HeaderChar"/>
    <w:uiPriority w:val="99"/>
    <w:unhideWhenUsed/>
    <w:rsid w:val="00223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9F"/>
  </w:style>
  <w:style w:type="paragraph" w:styleId="Footer">
    <w:name w:val="footer"/>
    <w:basedOn w:val="Normal"/>
    <w:link w:val="FooterChar"/>
    <w:uiPriority w:val="99"/>
    <w:unhideWhenUsed/>
    <w:rsid w:val="00223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69F"/>
  </w:style>
  <w:style w:type="paragraph" w:styleId="BalloonText">
    <w:name w:val="Balloon Text"/>
    <w:basedOn w:val="Normal"/>
    <w:link w:val="BalloonTextChar"/>
    <w:uiPriority w:val="99"/>
    <w:semiHidden/>
    <w:unhideWhenUsed/>
    <w:rsid w:val="004C06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06C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D34E2"/>
    <w:rPr>
      <w:sz w:val="16"/>
      <w:szCs w:val="16"/>
    </w:rPr>
  </w:style>
  <w:style w:type="paragraph" w:styleId="CommentText">
    <w:name w:val="annotation text"/>
    <w:basedOn w:val="Normal"/>
    <w:link w:val="CommentTextChar"/>
    <w:uiPriority w:val="99"/>
    <w:semiHidden/>
    <w:unhideWhenUsed/>
    <w:rsid w:val="000D34E2"/>
    <w:pPr>
      <w:spacing w:line="240" w:lineRule="auto"/>
    </w:pPr>
    <w:rPr>
      <w:sz w:val="20"/>
      <w:szCs w:val="20"/>
    </w:rPr>
  </w:style>
  <w:style w:type="character" w:customStyle="1" w:styleId="CommentTextChar">
    <w:name w:val="Comment Text Char"/>
    <w:basedOn w:val="DefaultParagraphFont"/>
    <w:link w:val="CommentText"/>
    <w:uiPriority w:val="99"/>
    <w:semiHidden/>
    <w:rsid w:val="000D34E2"/>
    <w:rPr>
      <w:sz w:val="20"/>
      <w:szCs w:val="20"/>
    </w:rPr>
  </w:style>
  <w:style w:type="paragraph" w:styleId="Revision">
    <w:name w:val="Revision"/>
    <w:hidden/>
    <w:uiPriority w:val="99"/>
    <w:semiHidden/>
    <w:rsid w:val="00085D90"/>
    <w:pPr>
      <w:spacing w:after="0" w:line="240" w:lineRule="auto"/>
    </w:pPr>
  </w:style>
  <w:style w:type="paragraph" w:styleId="CommentSubject">
    <w:name w:val="annotation subject"/>
    <w:basedOn w:val="CommentText"/>
    <w:next w:val="CommentText"/>
    <w:link w:val="CommentSubjectChar"/>
    <w:uiPriority w:val="99"/>
    <w:semiHidden/>
    <w:unhideWhenUsed/>
    <w:rsid w:val="00A54CD9"/>
    <w:rPr>
      <w:b/>
      <w:bCs/>
    </w:rPr>
  </w:style>
  <w:style w:type="character" w:customStyle="1" w:styleId="CommentSubjectChar">
    <w:name w:val="Comment Subject Char"/>
    <w:basedOn w:val="CommentTextChar"/>
    <w:link w:val="CommentSubject"/>
    <w:uiPriority w:val="99"/>
    <w:semiHidden/>
    <w:rsid w:val="00A54CD9"/>
    <w:rPr>
      <w:b/>
      <w:bCs/>
      <w:sz w:val="20"/>
      <w:szCs w:val="20"/>
    </w:rPr>
  </w:style>
  <w:style w:type="character" w:styleId="LineNumber">
    <w:name w:val="line number"/>
    <w:basedOn w:val="DefaultParagraphFont"/>
    <w:uiPriority w:val="99"/>
    <w:semiHidden/>
    <w:unhideWhenUsed/>
    <w:rsid w:val="0001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117711">
      <w:bodyDiv w:val="1"/>
      <w:marLeft w:val="0"/>
      <w:marRight w:val="0"/>
      <w:marTop w:val="0"/>
      <w:marBottom w:val="0"/>
      <w:divBdr>
        <w:top w:val="none" w:sz="0" w:space="0" w:color="auto"/>
        <w:left w:val="none" w:sz="0" w:space="0" w:color="auto"/>
        <w:bottom w:val="none" w:sz="0" w:space="0" w:color="auto"/>
        <w:right w:val="none" w:sz="0" w:space="0" w:color="auto"/>
      </w:divBdr>
    </w:div>
    <w:div w:id="1027759934">
      <w:bodyDiv w:val="1"/>
      <w:marLeft w:val="0"/>
      <w:marRight w:val="0"/>
      <w:marTop w:val="0"/>
      <w:marBottom w:val="0"/>
      <w:divBdr>
        <w:top w:val="none" w:sz="0" w:space="0" w:color="auto"/>
        <w:left w:val="none" w:sz="0" w:space="0" w:color="auto"/>
        <w:bottom w:val="none" w:sz="0" w:space="0" w:color="auto"/>
        <w:right w:val="none" w:sz="0" w:space="0" w:color="auto"/>
      </w:divBdr>
    </w:div>
    <w:div w:id="162673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RCM</Manager>
  <Company/>
  <LinksUpToDate>false</LinksUpToDate>
  <CharactersWithSpaces>8002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SH/EQM/AIB</dc:creator>
  <cp:keywords/>
  <dc:description/>
  <cp:lastModifiedBy>mike walsh</cp:lastModifiedBy>
  <cp:revision>2</cp:revision>
  <cp:lastPrinted>2020-06-10T03:38:00Z</cp:lastPrinted>
  <dcterms:created xsi:type="dcterms:W3CDTF">2020-07-01T05:29:00Z</dcterms:created>
  <dcterms:modified xsi:type="dcterms:W3CDTF">2020-07-01T05:29:00Z</dcterms:modified>
  <cp:category/>
</cp:coreProperties>
</file>